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40"/>
        <w:gridCol w:w="1560"/>
        <w:gridCol w:w="1560"/>
      </w:tblGrid>
      <w:tr>
        <w:tc>
          <w:tcPr>
            <w:tcW w:type="dxa" w:w="6240"/>
            <w:gridSpan w:val="1"/>
            <w:tcBorders>
              <w:top w:val="none" w:color="FFFFFF" w:sz="0"/>
              <w:left w:val="none" w:color="FFFFFF" w:sz="0"/>
              <w:bottom w:val="none" w:color="FFFFFF" w:sz="0"/>
              <w:right w:val="none" w:color="FFFFFF" w:sz="0"/>
            </w:tcBorders>
            <w:shd w:fill="1F3864" w:val="clear"/>
            <w:tcMar>
              <w:top w:type="dxa" w:w="60"/>
              <w:left w:type="dxa" w:w="100"/>
              <w:bottom w:type="dxa" w:w="60"/>
              <w:right w:type="dxa" w:w="100"/>
            </w:tcMar>
            <w:vAlign w:val="center"/>
          </w:tcPr>
          <w:p>
            <w:pPr>
              <w:spacing w:before="60" w:after="20"/>
              <w:jc w:val="left"/>
            </w:pPr>
            <w:r>
              <w:rPr>
                <w:b/>
                <w:bCs/>
                <w:color w:val="FFFFFF"/>
                <w:sz w:val="30"/>
                <w:szCs w:val="30"/>
                <w:rFonts w:ascii="Arial" w:cs="Arial" w:eastAsia="Arial" w:hAnsi="Arial"/>
              </w:rPr>
              <w:t xml:space="preserve">Get EarlyEdge</w:t>
            </w:r>
            <w:r>
              <w:rPr>
                <w:b w:val="false"/>
                <w:bCs w:val="false"/>
                <w:color w:val="A0BAD8"/>
                <w:sz w:val="18"/>
                <w:szCs w:val="18"/>
                <w:rFonts w:ascii="Arial" w:cs="Arial" w:eastAsia="Arial" w:hAnsi="Arial"/>
              </w:rPr>
              <w:t xml:space="preserve">  MU  —  Micron Technology, Inc.</w:t>
            </w:r>
          </w:p>
        </w:tc>
        <w:tc>
          <w:tcPr>
            <w:tcW w:type="dxa" w:w="1560"/>
            <w:gridSpan w:val="1"/>
            <w:tcBorders>
              <w:top w:val="none" w:color="FFFFFF" w:sz="0"/>
              <w:left w:val="none" w:color="FFFFFF" w:sz="0"/>
              <w:bottom w:val="none" w:color="FFFFFF" w:sz="0"/>
              <w:right w:val="none" w:color="FFFFFF" w:sz="0"/>
            </w:tcBorders>
            <w:shd w:fill="1F3864" w:val="clear"/>
            <w:tcMar>
              <w:top w:type="dxa" w:w="60"/>
              <w:left w:type="dxa" w:w="100"/>
              <w:bottom w:type="dxa" w:w="60"/>
              <w:right w:type="dxa" w:w="100"/>
            </w:tcMar>
            <w:vAlign w:val="center"/>
          </w:tcPr>
          <w:p>
            <w:pPr>
              <w:spacing w:before="40" w:after="0"/>
              <w:jc w:val="center"/>
            </w:pPr>
            <w:r>
              <w:rPr>
                <w:b/>
                <w:bCs/>
                <w:color w:val="E87722"/>
                <w:sz w:val="48"/>
                <w:szCs w:val="48"/>
                <w:rFonts w:ascii="Arial" w:cs="Arial" w:eastAsia="Arial" w:hAnsi="Arial"/>
              </w:rPr>
              <w:t xml:space="preserve">41</w:t>
            </w:r>
          </w:p>
        </w:tc>
        <w:tc>
          <w:tcPr>
            <w:tcW w:type="dxa" w:w="1560"/>
            <w:gridSpan w:val="1"/>
            <w:tcBorders>
              <w:top w:val="none" w:color="FFFFFF" w:sz="0"/>
              <w:left w:val="none" w:color="FFFFFF" w:sz="0"/>
              <w:bottom w:val="none" w:color="FFFFFF" w:sz="0"/>
              <w:right w:val="none" w:color="FFFFFF" w:sz="0"/>
            </w:tcBorders>
            <w:shd w:fill="E87722" w:val="clear"/>
            <w:tcMar>
              <w:top w:type="dxa" w:w="60"/>
              <w:left w:type="dxa" w:w="100"/>
              <w:bottom w:type="dxa" w:w="60"/>
              <w:right w:type="dxa" w:w="100"/>
            </w:tcMar>
            <w:vAlign w:val="center"/>
          </w:tcPr>
          <w:p>
            <w:pPr>
              <w:spacing w:before="70" w:after="70"/>
              <w:jc w:val="center"/>
            </w:pPr>
            <w:r>
              <w:rPr>
                <w:b/>
                <w:bCs/>
                <w:color w:val="FFFFFF"/>
                <w:sz w:val="20"/>
                <w:szCs w:val="20"/>
                <w:rFonts w:ascii="Arial" w:cs="Arial" w:eastAsia="Arial" w:hAnsi="Arial"/>
              </w:rPr>
              <w:t xml:space="preserve">Weak</w:t>
            </w:r>
          </w:p>
        </w:tc>
      </w:tr>
      <w:tr>
        <w:tc>
          <w:tcPr>
            <w:tcW w:type="dxa" w:w="6240"/>
            <w:gridSpan w:val="1"/>
            <w:tcBorders>
              <w:top w:val="none" w:color="FFFFFF" w:sz="0"/>
              <w:left w:val="none" w:color="FFFFFF" w:sz="0"/>
              <w:bottom w:val="none" w:color="FFFFFF" w:sz="0"/>
              <w:right w:val="none" w:color="FFFFFF" w:sz="0"/>
            </w:tcBorders>
            <w:shd w:fill="1F3864" w:val="clear"/>
            <w:tcMar>
              <w:top w:type="dxa" w:w="60"/>
              <w:left w:type="dxa" w:w="100"/>
              <w:bottom w:type="dxa" w:w="60"/>
              <w:right w:type="dxa" w:w="100"/>
            </w:tcMar>
            <w:vAlign w:val="center"/>
          </w:tcPr>
          <w:p>
            <w:pPr>
              <w:spacing w:before="20" w:after="20"/>
              <w:jc w:val="left"/>
            </w:pPr>
            <w:r>
              <w:rPr>
                <w:b w:val="false"/>
                <w:bCs w:val="false"/>
                <w:i/>
                <w:iCs/>
                <w:color w:val="A0BAD8"/>
                <w:sz w:val="16"/>
                <w:szCs w:val="16"/>
                <w:rFonts w:ascii="Arial" w:cs="Arial" w:eastAsia="Arial" w:hAnsi="Arial"/>
              </w:rPr>
              <w:t xml:space="preserve">AI-powered equity research platform — automated research output for self-directed investors</w:t>
            </w:r>
          </w:p>
        </w:tc>
        <w:tc>
          <w:tcPr>
            <w:tcW w:type="dxa" w:w="3120"/>
            <w:gridSpan w:val="2"/>
            <w:tcBorders>
              <w:top w:val="none" w:color="FFFFFF" w:sz="0"/>
              <w:left w:val="none" w:color="FFFFFF" w:sz="0"/>
              <w:bottom w:val="none" w:color="FFFFFF" w:sz="0"/>
              <w:right w:val="none" w:color="FFFFFF" w:sz="0"/>
            </w:tcBorders>
            <w:shd w:fill="1F3864" w:val="clear"/>
            <w:tcMar>
              <w:top w:type="dxa" w:w="60"/>
              <w:left w:type="dxa" w:w="100"/>
              <w:bottom w:type="dxa" w:w="60"/>
              <w:right w:type="dxa" w:w="100"/>
            </w:tcMar>
            <w:vAlign w:val="center"/>
          </w:tcPr>
          <w:p>
            <w:pPr>
              <w:spacing w:before="20" w:after="20"/>
              <w:jc w:val="right"/>
            </w:pPr>
            <w:r>
              <w:rPr>
                <w:b w:val="false"/>
                <w:bCs w:val="false"/>
                <w:color w:val="A0BAD8"/>
                <w:sz w:val="16"/>
                <w:szCs w:val="16"/>
                <w:rFonts w:ascii="Arial" w:cs="Arial" w:eastAsia="Arial" w:hAnsi="Arial"/>
              </w:rPr>
              <w:t xml:space="preserve">getearlyedge.com</w:t>
            </w:r>
          </w:p>
        </w:tc>
      </w:tr>
      <w:tr>
        <w:tc>
          <w:tcPr>
            <w:tcW w:type="dxa" w:w="6240"/>
            <w:gridSpan w:val="1"/>
            <w:tcBorders>
              <w:top w:val="none" w:color="FFFFFF" w:sz="0"/>
              <w:left w:val="none" w:color="FFFFFF" w:sz="0"/>
              <w:bottom w:val="none" w:color="FFFFFF" w:sz="0"/>
              <w:right w:val="none" w:color="FFFFFF" w:sz="0"/>
            </w:tcBorders>
            <w:shd w:fill="2B4A6B" w:val="clear"/>
            <w:tcMar>
              <w:top w:type="dxa" w:w="60"/>
              <w:left w:type="dxa" w:w="100"/>
              <w:bottom w:type="dxa" w:w="60"/>
              <w:right w:type="dxa" w:w="100"/>
            </w:tcMar>
            <w:vAlign w:val="center"/>
          </w:tcPr>
          <w:p>
            <w:pPr>
              <w:spacing w:before="30" w:after="30"/>
              <w:jc w:val="left"/>
            </w:pPr>
            <w:r>
              <w:rPr>
                <w:b w:val="false"/>
                <w:bCs w:val="false"/>
                <w:color w:val="A0BAD8"/>
                <w:sz w:val="17"/>
                <w:szCs w:val="17"/>
                <w:rFonts w:ascii="Arial" w:cs="Arial" w:eastAsia="Arial" w:hAnsi="Arial"/>
              </w:rPr>
              <w:t xml:space="preserve">Technology | Semiconductors | NASDAQ | $994.3B | Price: $878.84</w:t>
            </w:r>
          </w:p>
        </w:tc>
        <w:tc>
          <w:tcPr>
            <w:tcW w:type="dxa" w:w="3120"/>
            <w:gridSpan w:val="2"/>
            <w:tcBorders>
              <w:top w:val="none" w:color="FFFFFF" w:sz="0"/>
              <w:left w:val="none" w:color="FFFFFF" w:sz="0"/>
              <w:bottom w:val="none" w:color="FFFFFF" w:sz="0"/>
              <w:right w:val="none" w:color="FFFFFF" w:sz="0"/>
            </w:tcBorders>
            <w:shd w:fill="2B4A6B" w:val="clear"/>
            <w:tcMar>
              <w:top w:type="dxa" w:w="60"/>
              <w:left w:type="dxa" w:w="100"/>
              <w:bottom w:type="dxa" w:w="60"/>
              <w:right w:type="dxa" w:w="100"/>
            </w:tcMar>
            <w:vAlign w:val="center"/>
          </w:tcPr>
          <w:p>
            <w:pPr>
              <w:spacing w:before="30" w:after="30"/>
              <w:jc w:val="right"/>
            </w:pPr>
            <w:r>
              <w:rPr>
                <w:b w:val="false"/>
                <w:bCs w:val="false"/>
                <w:color w:val="A0BAD8"/>
                <w:sz w:val="15"/>
                <w:szCs w:val="15"/>
                <w:rFonts w:ascii="Arial" w:cs="Arial" w:eastAsia="Arial" w:hAnsi="Arial"/>
              </w:rPr>
              <w:t xml:space="preserve">Generated: Sunday, 18 October 2026 at 09:26 (Abu Dhabi Time, UTC+4)</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1 — MOMENTUM SNAPSHOT</w:t>
      </w:r>
    </w:p>
    <w:p>
      <w:pPr>
        <w:spacing w:before="40" w:after="40"/>
        <w:jc w:val="left"/>
      </w:pPr>
      <w:r>
        <w:rPr>
          <w:b w:val="false"/>
          <w:bCs w:val="false"/>
          <w:i/>
          <w:iCs/>
          <w:color w:val="595959"/>
          <w:sz w:val="16"/>
          <w:szCs w:val="16"/>
          <w:rFonts w:ascii="Arial" w:cs="Arial" w:eastAsia="Arial" w:hAnsi="Arial"/>
        </w:rPr>
        <w:t xml:space="preserve">ℹ  All momentum figures: price % change over stated period, daily OHLCV data. YTD = year-to-date from Jan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W w:type="dxa" w:w="15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1W</w:t>
            </w:r>
          </w:p>
        </w:tc>
        <w:tc>
          <w:tcPr>
            <w:tcW w:type="dxa" w:w="15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2W</w:t>
            </w:r>
          </w:p>
        </w:tc>
        <w:tc>
          <w:tcPr>
            <w:tcW w:type="dxa" w:w="15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1M</w:t>
            </w:r>
          </w:p>
        </w:tc>
        <w:tc>
          <w:tcPr>
            <w:tcW w:type="dxa" w:w="15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2M</w:t>
            </w:r>
          </w:p>
        </w:tc>
        <w:tc>
          <w:tcPr>
            <w:tcW w:type="dxa" w:w="15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3M</w:t>
            </w:r>
          </w:p>
        </w:tc>
        <w:tc>
          <w:tcPr>
            <w:tcW w:type="dxa" w:w="15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TREND</w:t>
            </w:r>
          </w:p>
        </w:tc>
      </w:tr>
      <w:tr>
        <w:tc>
          <w:tcPr>
            <w:tcW w:type="dxa" w:w="15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C00000"/>
                <w:sz w:val="20"/>
                <w:szCs w:val="20"/>
                <w:rFonts w:ascii="Arial" w:cs="Arial" w:eastAsia="Arial" w:hAnsi="Arial"/>
              </w:rPr>
              <w:t xml:space="preserve">-14.59%</w:t>
            </w:r>
          </w:p>
        </w:tc>
        <w:tc>
          <w:tcPr>
            <w:tcW w:type="dxa" w:w="15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C00000"/>
                <w:sz w:val="20"/>
                <w:szCs w:val="20"/>
                <w:rFonts w:ascii="Arial" w:cs="Arial" w:eastAsia="Arial" w:hAnsi="Arial"/>
              </w:rPr>
              <w:t xml:space="preserve">-18.24%</w:t>
            </w:r>
          </w:p>
        </w:tc>
        <w:tc>
          <w:tcPr>
            <w:tcW w:type="dxa" w:w="15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C00000"/>
                <w:sz w:val="20"/>
                <w:szCs w:val="20"/>
                <w:rFonts w:ascii="Arial" w:cs="Arial" w:eastAsia="Arial" w:hAnsi="Arial"/>
              </w:rPr>
              <w:t xml:space="preserve">-10.09%</w:t>
            </w:r>
          </w:p>
        </w:tc>
        <w:tc>
          <w:tcPr>
            <w:tcW w:type="dxa" w:w="15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C00000"/>
                <w:sz w:val="20"/>
                <w:szCs w:val="20"/>
                <w:rFonts w:ascii="Arial" w:cs="Arial" w:eastAsia="Arial" w:hAnsi="Arial"/>
              </w:rPr>
              <w:t xml:space="preserve">-6.58%</w:t>
            </w:r>
          </w:p>
        </w:tc>
        <w:tc>
          <w:tcPr>
            <w:tcW w:type="dxa" w:w="15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375623"/>
                <w:sz w:val="20"/>
                <w:szCs w:val="20"/>
                <w:rFonts w:ascii="Arial" w:cs="Arial" w:eastAsia="Arial" w:hAnsi="Arial"/>
              </w:rPr>
              <w:t xml:space="preserve">+1.55%</w:t>
            </w:r>
          </w:p>
        </w:tc>
        <w:tc>
          <w:tcPr>
            <w:tcW w:type="dxa" w:w="15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E8801A"/>
                <w:sz w:val="17"/>
                <w:szCs w:val="17"/>
                <w:rFonts w:ascii="Arial" w:cs="Arial" w:eastAsia="Arial" w:hAnsi="Arial"/>
              </w:rPr>
              <w:t xml:space="preserve">Weak/Declining</w:t>
            </w:r>
          </w:p>
        </w:tc>
      </w:tr>
    </w:tbl>
    <w:p>
      <w:pPr>
        <w:spacing w:before="0" w:after="60"/>
        <w:jc w:val="left"/>
      </w:pPr>
      <w:r>
        <w:rPr>
          <w:b w:val="false"/>
          <w:bCs w:val="false"/>
          <w:color w:val="000000"/>
          <w:sz w:val="20"/>
          <w:szCs w:val="20"/>
          <w:rFonts w:ascii="Arial" w:cs="Arial" w:eastAsia="Arial" w:hAnsi="Arial"/>
        </w:rPr>
      </w:r>
    </w:p>
    <w:p>
      <w:pPr>
        <w:spacing w:before="80" w:after="60"/>
        <w:jc w:val="left"/>
      </w:pPr>
      <w:r>
        <w:rPr>
          <w:b/>
          <w:bCs/>
          <w:color w:val="1F3864"/>
          <w:sz w:val="20"/>
          <w:szCs w:val="20"/>
          <w:rFonts w:ascii="Arial" w:cs="Arial" w:eastAsia="Arial" w:hAnsi="Arial"/>
        </w:rPr>
        <w:t xml:space="preserve">Moving Average Stack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500"/>
        <w:gridCol w:w="2160"/>
        <w:gridCol w:w="3900"/>
      </w:tblGrid>
      <w:tr>
        <w:tc>
          <w:tcPr>
            <w:tcW w:type="dxa" w:w="18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Indicator</w:t>
            </w:r>
          </w:p>
        </w:tc>
        <w:tc>
          <w:tcPr>
            <w:tcW w:type="dxa" w:w="15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Value ($)</w:t>
            </w:r>
          </w:p>
        </w:tc>
        <w:tc>
          <w:tcPr>
            <w:tcW w:type="dxa" w:w="21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Price vs MA (%)</w:t>
            </w:r>
          </w:p>
        </w:tc>
        <w:tc>
          <w:tcPr>
            <w:tcW w:type="dxa" w:w="39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Reading</w:t>
            </w:r>
          </w:p>
        </w:tc>
      </w:tr>
      <w:tr>
        <w:tc>
          <w:tcPr>
            <w:tcW w:type="dxa" w:w="18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20D SMA</w:t>
            </w:r>
          </w:p>
        </w:tc>
        <w:tc>
          <w:tcPr>
            <w:tcW w:type="dxa" w:w="15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$1033.00</w:t>
            </w:r>
          </w:p>
        </w:tc>
        <w:tc>
          <w:tcPr>
            <w:tcW w:type="dxa" w:w="21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-14.9%</w:t>
            </w:r>
          </w:p>
        </w:tc>
        <w:tc>
          <w:tcPr>
            <w:tcW w:type="dxa" w:w="3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Weak — price below 20D average. Short-term momentum is negative.</w:t>
            </w:r>
          </w:p>
        </w:tc>
      </w:tr>
      <w:tr>
        <w:tc>
          <w:tcPr>
            <w:tcW w:type="dxa" w:w="18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50D SMA</w:t>
            </w:r>
          </w:p>
        </w:tc>
        <w:tc>
          <w:tcPr>
            <w:tcW w:type="dxa" w:w="15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$983.12</w:t>
            </w:r>
          </w:p>
        </w:tc>
        <w:tc>
          <w:tcPr>
            <w:tcW w:type="dxa" w:w="21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-10.6%</w:t>
            </w:r>
          </w:p>
        </w:tc>
        <w:tc>
          <w:tcPr>
            <w:tcW w:type="dxa" w:w="39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Weak — price below 50D average. Medium-term trend is downward.</w:t>
            </w:r>
          </w:p>
        </w:tc>
      </w:tr>
      <w:tr>
        <w:tc>
          <w:tcPr>
            <w:tcW w:type="dxa" w:w="18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200D SMA</w:t>
            </w:r>
          </w:p>
        </w:tc>
        <w:tc>
          <w:tcPr>
            <w:tcW w:type="dxa" w:w="15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$717.84</w:t>
            </w:r>
          </w:p>
        </w:tc>
        <w:tc>
          <w:tcPr>
            <w:tcW w:type="dxa" w:w="21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22.4%</w:t>
            </w:r>
          </w:p>
        </w:tc>
        <w:tc>
          <w:tcPr>
            <w:tcW w:type="dxa" w:w="3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8"/>
                <w:szCs w:val="18"/>
                <w:rFonts w:ascii="Arial" w:cs="Arial" w:eastAsia="Arial" w:hAnsi="Arial"/>
              </w:rPr>
              <w:t xml:space="preserve">Positive — Price in healthy range above long-term average</w:t>
            </w:r>
          </w:p>
        </w:tc>
      </w:tr>
      <w:tr>
        <w:tc>
          <w:tcPr>
            <w:tcW w:type="dxa" w:w="18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Stack Order</w:t>
            </w:r>
          </w:p>
        </w:tc>
        <w:tc>
          <w:tcPr>
            <w:tcW w:type="dxa" w:w="15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r>
          </w:p>
        </w:tc>
        <w:tc>
          <w:tcPr>
            <w:tcW w:type="dxa" w:w="21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Below 20D</w:t>
            </w:r>
          </w:p>
        </w:tc>
        <w:tc>
          <w:tcPr>
            <w:tcW w:type="dxa" w:w="39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E8801A"/>
                <w:sz w:val="18"/>
                <w:szCs w:val="18"/>
                <w:rFonts w:ascii="Arial" w:cs="Arial" w:eastAsia="Arial" w:hAnsi="Arial"/>
              </w:rPr>
              <w:t xml:space="preserve">Neutral — Above 20D only. Short-term momentum positive but limited broader trend support.</w:t>
            </w:r>
          </w:p>
        </w:tc>
      </w:tr>
    </w:tbl>
    <w:p>
      <w:pPr>
        <w:spacing w:before="40" w:after="40"/>
        <w:jc w:val="left"/>
      </w:pPr>
      <w:r>
        <w:rPr>
          <w:b w:val="false"/>
          <w:bCs w:val="false"/>
          <w:i/>
          <w:iCs/>
          <w:color w:val="595959"/>
          <w:sz w:val="16"/>
          <w:szCs w:val="16"/>
          <w:rFonts w:ascii="Arial" w:cs="Arial" w:eastAsia="Arial" w:hAnsi="Arial"/>
        </w:rPr>
        <w:t xml:space="preserve">ℹ  200D Reading: Positive if price is +1% to +25% above. Extended if &gt;+25% above (historically associated with elevated pullback probability). Weak if price is below 200D average.</w:t>
      </w:r>
    </w:p>
    <w:p>
      <w:pPr>
        <w:spacing w:before="0" w:after="60"/>
        <w:jc w:val="left"/>
      </w:pPr>
      <w:r>
        <w:rPr>
          <w:b w:val="false"/>
          <w:bCs w:val="false"/>
          <w:color w:val="000000"/>
          <w:sz w:val="20"/>
          <w:szCs w:val="20"/>
          <w:rFonts w:ascii="Arial" w:cs="Arial" w:eastAsia="Arial" w:hAnsi="Arial"/>
        </w:rPr>
      </w:r>
    </w:p>
    <w:p>
      <w:pPr>
        <w:spacing w:before="80" w:after="60"/>
        <w:jc w:val="left"/>
      </w:pPr>
      <w:r>
        <w:rPr>
          <w:b/>
          <w:bCs/>
          <w:color w:val="1F3864"/>
          <w:sz w:val="20"/>
          <w:szCs w:val="20"/>
          <w:rFonts w:ascii="Arial" w:cs="Arial" w:eastAsia="Arial" w:hAnsi="Arial"/>
        </w:rPr>
        <w:t xml:space="preserve">Other Momentum Indicators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3960"/>
        <w:gridCol w:w="1800"/>
      </w:tblGrid>
      <w:tr>
        <w:tc>
          <w:tcPr>
            <w:tcW w:type="dxa" w:w="18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Indicator</w:t>
            </w:r>
          </w:p>
        </w:tc>
        <w:tc>
          <w:tcPr>
            <w:tcW w:type="dxa" w:w="18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Value</w:t>
            </w:r>
          </w:p>
        </w:tc>
        <w:tc>
          <w:tcPr>
            <w:tcW w:type="dxa" w:w="39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Interpretation</w:t>
            </w:r>
          </w:p>
        </w:tc>
        <w:tc>
          <w:tcPr>
            <w:tcW w:type="dxa" w:w="18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Reading</w:t>
            </w:r>
          </w:p>
        </w:tc>
      </w:tr>
      <w:tr>
        <w:tc>
          <w:tcPr>
            <w:tcW w:type="dxa" w:w="18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RSI (14-day)</w:t>
            </w:r>
          </w:p>
        </w:tc>
        <w:tc>
          <w:tcPr>
            <w:tcW w:type="dxa" w:w="18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27.0</w:t>
            </w:r>
          </w:p>
        </w:tc>
        <w:tc>
          <w:tcPr>
            <w:tcW w:type="dxa" w:w="39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27 — The stock has had an unusually strong run of down-days. Historically, stocks in this zone sometimes stabilise as sellers become exhausted</w:t>
            </w:r>
          </w:p>
        </w:tc>
        <w:tc>
          <w:tcPr>
            <w:tcW w:type="dxa" w:w="18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Oversold</w:t>
            </w:r>
          </w:p>
        </w:tc>
      </w:tr>
      <w:tr>
        <w:tc>
          <w:tcPr>
            <w:tcW w:type="dxa" w:w="18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Volume Confirmation</w:t>
            </w:r>
          </w:p>
        </w:tc>
        <w:tc>
          <w:tcPr>
            <w:tcW w:type="dxa" w:w="18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Weak (1.33x)</w:t>
            </w:r>
          </w:p>
        </w:tc>
        <w:tc>
          <w:tcPr>
            <w:tcW w:type="dxa" w:w="39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Rising price without proportional volume increase — historically associated with less sustainable price trends</w:t>
            </w:r>
          </w:p>
        </w:tc>
        <w:tc>
          <w:tcPr>
            <w:tcW w:type="dxa" w:w="18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Unconfirmed</w:t>
            </w:r>
          </w:p>
        </w:tc>
      </w:tr>
    </w:tbl>
    <w:p>
      <w:pPr>
        <w:spacing w:before="40" w:after="40"/>
        <w:jc w:val="left"/>
      </w:pPr>
      <w:r>
        <w:rPr>
          <w:b w:val="false"/>
          <w:bCs w:val="false"/>
          <w:i/>
          <w:iCs/>
          <w:color w:val="595959"/>
          <w:sz w:val="16"/>
          <w:szCs w:val="16"/>
          <w:rFonts w:ascii="Arial" w:cs="Arial" w:eastAsia="Arial" w:hAnsi="Arial"/>
        </w:rPr>
        <w:t xml:space="preserve">ℹ  RSI: Healthy 50-75 (active momentum without being extreme). Cooling 35-50 (weakening). Overbought &gt;75 (historically elevated pullback probability). Oversold &lt;35 (historically elevated stabilisation probability). These are statistical zones, not predictions.</w:t>
      </w:r>
    </w:p>
    <w:p>
      <w:pPr>
        <w:spacing w:before="0" w:after="60"/>
        <w:jc w:val="left"/>
      </w:pPr>
      <w:r>
        <w:rPr>
          <w:b w:val="false"/>
          <w:bCs w:val="false"/>
          <w:color w:val="000000"/>
          <w:sz w:val="20"/>
          <w:szCs w:val="20"/>
          <w:rFonts w:ascii="Arial" w:cs="Arial" w:eastAsia="Arial" w:hAnsi="Arial"/>
        </w:rPr>
      </w:r>
    </w:p>
    <w:p>
      <w:pPr>
        <w:spacing w:before="80" w:after="60"/>
        <w:jc w:val="left"/>
      </w:pPr>
      <w:r>
        <w:rPr>
          <w:b/>
          <w:bCs/>
          <w:color w:val="1F3864"/>
          <w:sz w:val="20"/>
          <w:szCs w:val="20"/>
          <w:rFonts w:ascii="Arial" w:cs="Arial" w:eastAsia="Arial" w:hAnsi="Arial"/>
        </w:rPr>
        <w:t xml:space="preserve">Longer-term Price Performance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200"/>
        <w:gridCol w:w="1100"/>
        <w:gridCol w:w="1100"/>
        <w:gridCol w:w="1100"/>
        <w:gridCol w:w="1100"/>
        <w:gridCol w:w="1100"/>
        <w:gridCol w:w="1100"/>
        <w:gridCol w:w="1100"/>
        <w:gridCol w:w="1100"/>
      </w:tblGrid>
      <w:tr>
        <w:tc>
          <w:tcPr>
            <w:tcW w:type="dxa" w:w="12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Period</w:t>
            </w:r>
          </w:p>
        </w:tc>
        <w:tc>
          <w:tcPr>
            <w:tcW w:type="dxa" w:w="11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1W</w:t>
            </w:r>
          </w:p>
        </w:tc>
        <w:tc>
          <w:tcPr>
            <w:tcW w:type="dxa" w:w="11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2W</w:t>
            </w:r>
          </w:p>
        </w:tc>
        <w:tc>
          <w:tcPr>
            <w:tcW w:type="dxa" w:w="11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1M</w:t>
            </w:r>
          </w:p>
        </w:tc>
        <w:tc>
          <w:tcPr>
            <w:tcW w:type="dxa" w:w="11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2M</w:t>
            </w:r>
          </w:p>
        </w:tc>
        <w:tc>
          <w:tcPr>
            <w:tcW w:type="dxa" w:w="11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3M</w:t>
            </w:r>
          </w:p>
        </w:tc>
        <w:tc>
          <w:tcPr>
            <w:tcW w:type="dxa" w:w="11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6M</w:t>
            </w:r>
          </w:p>
        </w:tc>
        <w:tc>
          <w:tcPr>
            <w:tcW w:type="dxa" w:w="11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1Y</w:t>
            </w:r>
          </w:p>
        </w:tc>
        <w:tc>
          <w:tcPr>
            <w:tcW w:type="dxa" w:w="11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YTD</w:t>
            </w:r>
          </w:p>
        </w:tc>
      </w:tr>
      <w:tr>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Return</w:t>
            </w:r>
          </w:p>
        </w:tc>
        <w:tc>
          <w:tcPr>
            <w:tcW w:type="dxa" w:w="11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-14.59%</w:t>
            </w:r>
          </w:p>
        </w:tc>
        <w:tc>
          <w:tcPr>
            <w:tcW w:type="dxa" w:w="11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-18.24%</w:t>
            </w:r>
          </w:p>
        </w:tc>
        <w:tc>
          <w:tcPr>
            <w:tcW w:type="dxa" w:w="11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-10.09%</w:t>
            </w:r>
          </w:p>
        </w:tc>
        <w:tc>
          <w:tcPr>
            <w:tcW w:type="dxa" w:w="11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-6.58%</w:t>
            </w:r>
          </w:p>
        </w:tc>
        <w:tc>
          <w:tcPr>
            <w:tcW w:type="dxa" w:w="11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8"/>
                <w:szCs w:val="18"/>
                <w:rFonts w:ascii="Arial" w:cs="Arial" w:eastAsia="Arial" w:hAnsi="Arial"/>
              </w:rPr>
              <w:t xml:space="preserve">+1.55%</w:t>
            </w:r>
          </w:p>
        </w:tc>
        <w:tc>
          <w:tcPr>
            <w:tcW w:type="dxa" w:w="11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8"/>
                <w:szCs w:val="18"/>
                <w:rFonts w:ascii="Arial" w:cs="Arial" w:eastAsia="Arial" w:hAnsi="Arial"/>
              </w:rPr>
              <w:t xml:space="preserve">+93.12%</w:t>
            </w:r>
          </w:p>
        </w:tc>
        <w:tc>
          <w:tcPr>
            <w:tcW w:type="dxa" w:w="11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8"/>
                <w:szCs w:val="18"/>
                <w:rFonts w:ascii="Arial" w:cs="Arial" w:eastAsia="Arial" w:hAnsi="Arial"/>
              </w:rPr>
              <w:t xml:space="preserve">+357.87%</w:t>
            </w:r>
          </w:p>
        </w:tc>
        <w:tc>
          <w:tcPr>
            <w:tcW w:type="dxa" w:w="11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8"/>
                <w:szCs w:val="18"/>
                <w:rFonts w:ascii="Arial" w:cs="Arial" w:eastAsia="Arial" w:hAnsi="Arial"/>
              </w:rPr>
              <w:t xml:space="preserve">+207.92%</w:t>
            </w:r>
          </w:p>
        </w:tc>
      </w:tr>
    </w:tbl>
    <w:tbl>
      <w:tblPr>
        <w:tblW w:type="dxa" w:w="1312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400"/>
        <w:gridCol w:w="2400"/>
        <w:gridCol w:w="1760"/>
        <w:gridCol w:w="1760"/>
      </w:tblGrid>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52-Week High</w:t>
            </w:r>
          </w:p>
        </w:tc>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$1255</w:t>
            </w:r>
          </w:p>
        </w:tc>
        <w:tc>
          <w:tcPr>
            <w:tcW w:type="dxa" w:w="24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52-Week Low</w:t>
            </w:r>
          </w:p>
        </w:tc>
        <w:tc>
          <w:tcPr>
            <w:tcW w:type="dxa" w:w="24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$192.4</w:t>
            </w:r>
          </w:p>
        </w:tc>
        <w:tc>
          <w:tcPr>
            <w:tcW w:type="dxa" w:w="17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vs 52W High</w:t>
            </w:r>
          </w:p>
        </w:tc>
        <w:tc>
          <w:tcPr>
            <w:tcW w:type="dxa" w:w="17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E8801A"/>
                <w:sz w:val="18"/>
                <w:szCs w:val="18"/>
                <w:rFonts w:ascii="Arial" w:cs="Arial" w:eastAsia="Arial" w:hAnsi="Arial"/>
              </w:rPr>
              <w:t xml:space="preserve">-30.0%</w:t>
            </w:r>
          </w:p>
        </w:tc>
      </w:tr>
    </w:tbl>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FF9E6" w:val="clear"/>
            <w:tcMar>
              <w:top w:type="dxa" w:w="120"/>
              <w:left w:type="dxa" w:w="160"/>
              <w:bottom w:type="dxa" w:w="120"/>
              <w:right w:type="dxa" w:w="160"/>
            </w:tcMar>
          </w:tcPr>
          <w:p>
            <w:pPr>
              <w:spacing w:before="0" w:after="0"/>
              <w:jc w:val="left"/>
            </w:pPr>
            <w:r>
              <w:rPr>
                <w:b w:val="false"/>
                <w:bCs w:val="false"/>
                <w:color w:val="000000"/>
                <w:sz w:val="19"/>
                <w:szCs w:val="19"/>
                <w:rFonts w:ascii="Arial" w:cs="Arial" w:eastAsia="Arial" w:hAnsi="Arial"/>
              </w:rPr>
              <w:t xml:space="preserve">Momentum profile: Above 20D average only — short-term momentum positive but broader trend support is limited. RSI 27 = oversold — historically stocks in this zone sometimes stabilise as sellers become exhausted. Volume is unconfirmed — the price move lacks proportional trading activity to support it.</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2 — RESEARCH SCORE &amp; SIGNAL PROFILE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1800"/>
        <w:gridCol w:w="1320"/>
      </w:tblGrid>
      <w:tr>
        <w:tc>
          <w:tcPr>
            <w:tcW w:type="dxa" w:w="312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Company Type</w:t>
            </w:r>
          </w:p>
        </w:tc>
        <w:tc>
          <w:tcPr>
            <w:tcW w:type="dxa" w:w="312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E8801A"/>
                <w:sz w:val="18"/>
                <w:szCs w:val="18"/>
                <w:rFonts w:ascii="Arial" w:cs="Arial" w:eastAsia="Arial" w:hAnsi="Arial"/>
              </w:rPr>
              <w:t xml:space="preserve">Cyclical</w:t>
            </w:r>
          </w:p>
        </w:tc>
        <w:tc>
          <w:tcPr>
            <w:tcW w:type="dxa" w:w="180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Score Weighting</w:t>
            </w:r>
          </w:p>
        </w:tc>
        <w:tc>
          <w:tcPr>
            <w:tcW w:type="dxa" w:w="132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40% Momentum + 60% Fundamental</w:t>
            </w:r>
          </w:p>
        </w:tc>
      </w:tr>
    </w:tbl>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720"/>
        <w:gridCol w:w="720"/>
        <w:gridCol w:w="4320"/>
      </w:tblGrid>
      <w:tr>
        <w:tc>
          <w:tcPr>
            <w:tcW w:type="dxa" w:w="36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Score Component</w:t>
            </w:r>
          </w:p>
        </w:tc>
        <w:tc>
          <w:tcPr>
            <w:tcW w:type="dxa" w:w="72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Score</w:t>
            </w:r>
          </w:p>
        </w:tc>
        <w:tc>
          <w:tcPr>
            <w:tcW w:type="dxa" w:w="72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Max</w:t>
            </w:r>
          </w:p>
        </w:tc>
        <w:tc>
          <w:tcPr>
            <w:tcW w:type="dxa" w:w="432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Algorithmic Drivers</w:t>
            </w:r>
          </w:p>
        </w:tc>
      </w:tr>
      <w:tr>
        <w:tc>
          <w:tcPr>
            <w:tcW w:type="dxa" w:w="36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Momentum Score (AI)</w:t>
            </w:r>
          </w:p>
        </w:tc>
        <w:tc>
          <w:tcPr>
            <w:tcW w:type="dxa" w:w="7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12</w:t>
            </w:r>
          </w:p>
        </w:tc>
        <w:tc>
          <w:tcPr>
            <w:tcW w:type="dxa" w:w="7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100</w:t>
            </w:r>
          </w:p>
        </w:tc>
        <w:tc>
          <w:tcPr>
            <w:tcW w:type="dxa" w:w="43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Price action across 1W/2W/1M/2M/3M timeframes + MA stack + RSI + volume</w:t>
            </w:r>
          </w:p>
        </w:tc>
      </w:tr>
      <w:tr>
        <w:tc>
          <w:tcPr>
            <w:tcW w:type="dxa" w:w="36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 Growth Engine</w:t>
            </w:r>
          </w:p>
        </w:tc>
        <w:tc>
          <w:tcPr>
            <w:tcW w:type="dxa" w:w="7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E87722"/>
                <w:sz w:val="18"/>
                <w:szCs w:val="18"/>
                <w:rFonts w:ascii="Arial" w:cs="Arial" w:eastAsia="Arial" w:hAnsi="Arial"/>
              </w:rPr>
              <w:t xml:space="preserve">11</w:t>
            </w:r>
          </w:p>
        </w:tc>
        <w:tc>
          <w:tcPr>
            <w:tcW w:type="dxa" w:w="7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25</w:t>
            </w:r>
          </w:p>
        </w:tc>
        <w:tc>
          <w:tcPr>
            <w:tcW w:type="dxa" w:w="43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Revenue CAGR, Operating Income CAGR, EPS CAGR, FCF CAGR, Revenue acceleration</w:t>
            </w:r>
          </w:p>
        </w:tc>
      </w:tr>
      <w:tr>
        <w:tc>
          <w:tcPr>
            <w:tcW w:type="dxa" w:w="36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 Return on Capital</w:t>
            </w:r>
          </w:p>
        </w:tc>
        <w:tc>
          <w:tcPr>
            <w:tcW w:type="dxa" w:w="7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8"/>
                <w:szCs w:val="18"/>
                <w:rFonts w:ascii="Arial" w:cs="Arial" w:eastAsia="Arial" w:hAnsi="Arial"/>
              </w:rPr>
              <w:t xml:space="preserve">14</w:t>
            </w:r>
          </w:p>
        </w:tc>
        <w:tc>
          <w:tcPr>
            <w:tcW w:type="dxa" w:w="7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15</w:t>
            </w:r>
          </w:p>
        </w:tc>
        <w:tc>
          <w:tcPr>
            <w:tcW w:type="dxa" w:w="43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3-year avg ROE (leverage-adjusted), Operating margin trend, Gross margin trend</w:t>
            </w:r>
          </w:p>
        </w:tc>
      </w:tr>
      <w:tr>
        <w:tc>
          <w:tcPr>
            <w:tcW w:type="dxa" w:w="36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3. Cash Generation &amp; Capex</w:t>
            </w:r>
          </w:p>
        </w:tc>
        <w:tc>
          <w:tcPr>
            <w:tcW w:type="dxa" w:w="7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2E75B6"/>
                <w:sz w:val="18"/>
                <w:szCs w:val="18"/>
                <w:rFonts w:ascii="Arial" w:cs="Arial" w:eastAsia="Arial" w:hAnsi="Arial"/>
              </w:rPr>
              <w:t xml:space="preserve">11</w:t>
            </w:r>
          </w:p>
        </w:tc>
        <w:tc>
          <w:tcPr>
            <w:tcW w:type="dxa" w:w="7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15</w:t>
            </w:r>
          </w:p>
        </w:tc>
        <w:tc>
          <w:tcPr>
            <w:tcW w:type="dxa" w:w="43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FCF margin, CFO/Net Income quality, FCF per share growth, CAPEX intensity</w:t>
            </w:r>
          </w:p>
        </w:tc>
      </w:tr>
      <w:tr>
        <w:tc>
          <w:tcPr>
            <w:tcW w:type="dxa" w:w="36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4. Balance Sheet Resilience</w:t>
            </w:r>
          </w:p>
        </w:tc>
        <w:tc>
          <w:tcPr>
            <w:tcW w:type="dxa" w:w="7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8"/>
                <w:szCs w:val="18"/>
                <w:rFonts w:ascii="Arial" w:cs="Arial" w:eastAsia="Arial" w:hAnsi="Arial"/>
              </w:rPr>
              <w:t xml:space="preserve">15</w:t>
            </w:r>
          </w:p>
        </w:tc>
        <w:tc>
          <w:tcPr>
            <w:tcW w:type="dxa" w:w="7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15</w:t>
            </w:r>
          </w:p>
        </w:tc>
        <w:tc>
          <w:tcPr>
            <w:tcW w:type="dxa" w:w="43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Net Debt/EBITDA, Interest coverage, Equity/Assets, Liquidity buffer</w:t>
            </w:r>
          </w:p>
        </w:tc>
      </w:tr>
      <w:tr>
        <w:tc>
          <w:tcPr>
            <w:tcW w:type="dxa" w:w="36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5. Shareholder Alignment</w:t>
            </w:r>
          </w:p>
        </w:tc>
        <w:tc>
          <w:tcPr>
            <w:tcW w:type="dxa" w:w="7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4</w:t>
            </w:r>
          </w:p>
        </w:tc>
        <w:tc>
          <w:tcPr>
            <w:tcW w:type="dxa" w:w="7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15</w:t>
            </w:r>
          </w:p>
        </w:tc>
        <w:tc>
          <w:tcPr>
            <w:tcW w:type="dxa" w:w="43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Share count trend, Buybacks (% mktcap), Insider ownership, Insider buy value</w:t>
            </w:r>
          </w:p>
        </w:tc>
      </w:tr>
      <w:tr>
        <w:tc>
          <w:tcPr>
            <w:tcW w:type="dxa" w:w="36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6. Valuation Sanity</w:t>
            </w:r>
          </w:p>
        </w:tc>
        <w:tc>
          <w:tcPr>
            <w:tcW w:type="dxa" w:w="7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E87722"/>
                <w:sz w:val="18"/>
                <w:szCs w:val="18"/>
                <w:rFonts w:ascii="Arial" w:cs="Arial" w:eastAsia="Arial" w:hAnsi="Arial"/>
              </w:rPr>
              <w:t xml:space="preserve">6</w:t>
            </w:r>
          </w:p>
        </w:tc>
        <w:tc>
          <w:tcPr>
            <w:tcW w:type="dxa" w:w="7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15</w:t>
            </w:r>
          </w:p>
        </w:tc>
        <w:tc>
          <w:tcPr>
            <w:tcW w:type="dxa" w:w="43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P/E vs EPS growth (Lynch), EV/EBITDA, FCF/EV yield, Market cap tier</w:t>
            </w:r>
          </w:p>
        </w:tc>
      </w:tr>
      <w:tr>
        <w:tc>
          <w:tcPr>
            <w:tcW w:type="dxa" w:w="36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Sub-total (components 1–6)</w:t>
            </w:r>
          </w:p>
        </w:tc>
        <w:tc>
          <w:tcPr>
            <w:tcW w:type="dxa" w:w="7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E8801A"/>
                <w:sz w:val="18"/>
                <w:szCs w:val="18"/>
                <w:rFonts w:ascii="Arial" w:cs="Arial" w:eastAsia="Arial" w:hAnsi="Arial"/>
              </w:rPr>
              <w:t xml:space="preserve">61</w:t>
            </w:r>
          </w:p>
        </w:tc>
        <w:tc>
          <w:tcPr>
            <w:tcW w:type="dxa" w:w="7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100</w:t>
            </w:r>
          </w:p>
        </w:tc>
        <w:tc>
          <w:tcPr>
            <w:tcW w:type="dxa" w:w="43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Algorithmic sum of components 1–6 before penalties</w:t>
            </w:r>
          </w:p>
        </w:tc>
      </w:tr>
      <w:tr>
        <w:tc>
          <w:tcPr>
            <w:tcW w:type="dxa" w:w="36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Red Flag Penalties</w:t>
            </w:r>
          </w:p>
        </w:tc>
        <w:tc>
          <w:tcPr>
            <w:tcW w:type="dxa" w:w="7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0</w:t>
            </w:r>
          </w:p>
        </w:tc>
        <w:tc>
          <w:tcPr>
            <w:tcW w:type="dxa" w:w="7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w:t>
            </w:r>
          </w:p>
        </w:tc>
        <w:tc>
          <w:tcPr>
            <w:tcW w:type="dxa" w:w="43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No red flags identified</w:t>
            </w:r>
          </w:p>
        </w:tc>
      </w:tr>
      <w:tr>
        <w:tc>
          <w:tcPr>
            <w:tcW w:type="dxa" w:w="360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Fundamental Total</w:t>
            </w:r>
          </w:p>
        </w:tc>
        <w:tc>
          <w:tcPr>
            <w:tcW w:type="dxa" w:w="72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val="false"/>
                <w:bCs w:val="false"/>
                <w:color w:val="E8801A"/>
                <w:sz w:val="18"/>
                <w:szCs w:val="18"/>
                <w:rFonts w:ascii="Arial" w:cs="Arial" w:eastAsia="Arial" w:hAnsi="Arial"/>
              </w:rPr>
              <w:t xml:space="preserve">61</w:t>
            </w:r>
          </w:p>
        </w:tc>
        <w:tc>
          <w:tcPr>
            <w:tcW w:type="dxa" w:w="72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100</w:t>
            </w:r>
          </w:p>
        </w:tc>
        <w:tc>
          <w:tcPr>
            <w:tcW w:type="dxa" w:w="432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Sub-total adjusted for Red Flag Penalties (floored at 0)</w:t>
            </w:r>
          </w:p>
        </w:tc>
      </w:tr>
      <w:tr>
        <w:tc>
          <w:tcPr>
            <w:tcW w:type="dxa" w:w="360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RESEARCH SCORE  (40% Mom + 60% Fund)</w:t>
            </w:r>
          </w:p>
        </w:tc>
        <w:tc>
          <w:tcPr>
            <w:tcW w:type="dxa" w:w="72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E87722"/>
                <w:sz w:val="18"/>
                <w:szCs w:val="18"/>
                <w:rFonts w:ascii="Arial" w:cs="Arial" w:eastAsia="Arial" w:hAnsi="Arial"/>
              </w:rPr>
              <w:t xml:space="preserve">41</w:t>
            </w:r>
          </w:p>
        </w:tc>
        <w:tc>
          <w:tcPr>
            <w:tcW w:type="dxa" w:w="72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100</w:t>
            </w:r>
          </w:p>
        </w:tc>
        <w:tc>
          <w:tcPr>
            <w:tcW w:type="dxa" w:w="432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12 × 0.4 + 61 × 0.6 = 41</w:t>
            </w:r>
          </w:p>
        </w:tc>
      </w:tr>
    </w:tbl>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800"/>
        <w:gridCol w:w="6360"/>
      </w:tblGrid>
      <w:tr>
        <w:tc>
          <w:tcPr>
            <w:tcW w:type="dxa" w:w="12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Score</w:t>
            </w:r>
          </w:p>
        </w:tc>
        <w:tc>
          <w:tcPr>
            <w:tcW w:type="dxa" w:w="18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Research Profile</w:t>
            </w:r>
          </w:p>
        </w:tc>
        <w:tc>
          <w:tcPr>
            <w:tcW w:type="dxa" w:w="63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Interpretation</w:t>
            </w:r>
          </w:p>
        </w:tc>
      </w:tr>
      <w:tr>
        <w:tc>
          <w:tcPr>
            <w:tcW w:type="dxa" w:w="1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85–100</w:t>
            </w:r>
          </w:p>
        </w:tc>
        <w:tc>
          <w:tcPr>
            <w:tcW w:type="dxa" w:w="18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8"/>
                <w:szCs w:val="18"/>
                <w:rFonts w:ascii="Arial" w:cs="Arial" w:eastAsia="Arial" w:hAnsi="Arial"/>
              </w:rPr>
              <w:t xml:space="preserve">Strong</w:t>
            </w:r>
          </w:p>
        </w:tc>
        <w:tc>
          <w:tcPr>
            <w:tcW w:type="dxa" w:w="63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Exceptional compounder candidate — strong growth, high returns, solid cash, resilient balance sheet</w:t>
            </w:r>
          </w:p>
        </w:tc>
      </w:tr>
      <w:tr>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70–84</w:t>
            </w:r>
          </w:p>
        </w:tc>
        <w:tc>
          <w:tcPr>
            <w:tcW w:type="dxa" w:w="18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8"/>
                <w:szCs w:val="18"/>
                <w:rFonts w:ascii="Arial" w:cs="Arial" w:eastAsia="Arial" w:hAnsi="Arial"/>
              </w:rPr>
              <w:t xml:space="preserve">Positive</w:t>
            </w:r>
          </w:p>
        </w:tc>
        <w:tc>
          <w:tcPr>
            <w:tcW w:type="dxa" w:w="63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High-quality growth candidate — good profile with minor weakness</w:t>
            </w:r>
          </w:p>
        </w:tc>
      </w:tr>
      <w:tr>
        <w:tc>
          <w:tcPr>
            <w:tcW w:type="dxa" w:w="1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55–69</w:t>
            </w:r>
          </w:p>
        </w:tc>
        <w:tc>
          <w:tcPr>
            <w:tcW w:type="dxa" w:w="18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E8801A"/>
                <w:sz w:val="18"/>
                <w:szCs w:val="18"/>
                <w:rFonts w:ascii="Arial" w:cs="Arial" w:eastAsia="Arial" w:hAnsi="Arial"/>
              </w:rPr>
              <w:t xml:space="preserve">Mixed</w:t>
            </w:r>
          </w:p>
        </w:tc>
        <w:tc>
          <w:tcPr>
            <w:tcW w:type="dxa" w:w="63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Some compounder traits — missing key elements for high conviction</w:t>
            </w:r>
          </w:p>
        </w:tc>
      </w:tr>
      <w:tr>
        <w:tc>
          <w:tcPr>
            <w:tcW w:type="dxa" w:w="120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40–54</w:t>
            </w:r>
          </w:p>
        </w:tc>
        <w:tc>
          <w:tcPr>
            <w:tcW w:type="dxa" w:w="180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E8801A"/>
                <w:sz w:val="18"/>
                <w:szCs w:val="18"/>
                <w:rFonts w:ascii="Arial" w:cs="Arial" w:eastAsia="Arial" w:hAnsi="Arial"/>
              </w:rPr>
              <w:t xml:space="preserve">Weak</w:t>
            </w:r>
          </w:p>
        </w:tc>
        <w:tc>
          <w:tcPr>
            <w:tcW w:type="dxa" w:w="63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Limited compounder profile — speculative or deteriorating fundamentals</w:t>
            </w:r>
          </w:p>
        </w:tc>
      </w:tr>
      <w:tr>
        <w:tc>
          <w:tcPr>
            <w:tcW w:type="dxa" w:w="1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Below 40</w:t>
            </w:r>
          </w:p>
        </w:tc>
        <w:tc>
          <w:tcPr>
            <w:tcW w:type="dxa" w:w="18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C00000"/>
                <w:sz w:val="18"/>
                <w:szCs w:val="18"/>
                <w:rFonts w:ascii="Arial" w:cs="Arial" w:eastAsia="Arial" w:hAnsi="Arial"/>
              </w:rPr>
              <w:t xml:space="preserve">Fails Screen</w:t>
            </w:r>
          </w:p>
        </w:tc>
        <w:tc>
          <w:tcPr>
            <w:tcW w:type="dxa" w:w="63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Does not fit value-compounder criteria</w:t>
            </w:r>
          </w:p>
        </w:tc>
      </w:tr>
    </w:tbl>
    <w:p>
      <w:pPr>
        <w:spacing w:before="120" w:after="60"/>
        <w:jc w:val="left"/>
      </w:pPr>
      <w:r>
        <w:rPr>
          <w:b/>
          <w:bCs/>
          <w:color w:val="000000"/>
          <w:sz w:val="22"/>
          <w:szCs w:val="22"/>
          <w:rFonts w:ascii="Arial" w:cs="Arial" w:eastAsia="Arial" w:hAnsi="Arial"/>
        </w:rPr>
        <w:t xml:space="preserve">RESEARCH PROFILE:  </w:t>
      </w:r>
      <w:r>
        <w:rPr>
          <w:b/>
          <w:bCs/>
          <w:color w:val="E87722"/>
          <w:sz w:val="22"/>
          <w:szCs w:val="22"/>
          <w:rFonts w:ascii="Arial" w:cs="Arial" w:eastAsia="Arial" w:hAnsi="Arial"/>
        </w:rPr>
        <w:t xml:space="preserve">Weak</w:t>
      </w:r>
    </w:p>
    <w:p>
      <w:pPr>
        <w:spacing w:before="40" w:after="60"/>
        <w:jc w:val="left"/>
      </w:pPr>
      <w:r>
        <w:rPr>
          <w:b/>
          <w:bCs/>
          <w:color w:val="E8801A"/>
          <w:sz w:val="18"/>
          <w:szCs w:val="18"/>
          <w:rFonts w:ascii="Arial" w:cs="Arial" w:eastAsia="Arial" w:hAnsi="Arial"/>
        </w:rPr>
        <w:t xml:space="preserve">Company Type: </w:t>
      </w:r>
      <w:r>
        <w:rPr>
          <w:b/>
          <w:bCs/>
          <w:color w:val="E8801A"/>
          <w:sz w:val="18"/>
          <w:szCs w:val="18"/>
          <w:rFonts w:ascii="Arial" w:cs="Arial" w:eastAsia="Arial" w:hAnsi="Arial"/>
        </w:rPr>
        <w:t xml:space="preserve">Cyclical</w:t>
      </w:r>
      <w:r>
        <w:rPr>
          <w:b w:val="false"/>
          <w:bCs w:val="false"/>
          <w:color w:val="595959"/>
          <w:sz w:val="16"/>
          <w:szCs w:val="16"/>
          <w:rFonts w:ascii="Arial" w:cs="Arial" w:eastAsia="Arial" w:hAnsi="Arial"/>
        </w:rPr>
        <w:t xml:space="preserve">  |  All fundamental sub-scores are computed algorithmically from financial data. AI provides qualitative analysis only.</w:t>
      </w:r>
    </w:p>
    <w:p>
      <w:pPr>
        <w:spacing w:before="0" w:after="60"/>
        <w:jc w:val="left"/>
      </w:pPr>
      <w:r>
        <w:rPr>
          <w:b w:val="false"/>
          <w:bCs w:val="false"/>
          <w:color w:val="000000"/>
          <w:sz w:val="20"/>
          <w:szCs w:val="20"/>
          <w:rFonts w:ascii="Arial" w:cs="Arial" w:eastAsia="Arial" w:hAnsi="Arial"/>
        </w:rPr>
      </w:r>
    </w:p>
    <w:p>
      <w:pPr>
        <w:spacing w:before="60" w:after="60"/>
        <w:jc w:val="left"/>
      </w:pPr>
      <w:r>
        <w:rPr>
          <w:b/>
          <w:bCs/>
          <w:color w:val="1F3864"/>
          <w:sz w:val="19"/>
          <w:szCs w:val="19"/>
          <w:rFonts w:ascii="Arial" w:cs="Arial" w:eastAsia="Arial" w:hAnsi="Arial"/>
        </w:rPr>
        <w:t xml:space="preserve">Score Detail — Key Computed Values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c>
          <w:tcPr>
            <w:tcW w:type="dxa" w:w="21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Component</w:t>
            </w:r>
          </w:p>
        </w:tc>
        <w:tc>
          <w:tcPr>
            <w:tcW w:type="dxa" w:w="72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Computed Values — Audit Trail</w:t>
            </w:r>
          </w:p>
        </w:tc>
      </w:tr>
      <w:tr>
        <w:tc>
          <w:tcPr>
            <w:tcW w:type="dxa" w:w="21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Growth Engine</w:t>
            </w:r>
          </w:p>
        </w:tc>
        <w:tc>
          <w:tcPr>
            <w:tcW w:type="dxa" w:w="7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5"/>
                <w:szCs w:val="15"/>
                <w:rFonts w:ascii="Arial" w:cs="Arial" w:eastAsia="Arial" w:hAnsi="Arial"/>
              </w:rPr>
              <w:t xml:space="preserve">Revenue CAGR (3Y): +104.6%   |  Operating Income CAGR: N/A  |  EPS Diluted CAGR: N/A  |  FCF CAGR: N/A  |  Revenue acceleration score: 4/4</w:t>
            </w:r>
          </w:p>
        </w:tc>
      </w:tr>
      <w:tr>
        <w:tc>
          <w:tcPr>
            <w:tcW w:type="dxa" w:w="21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Return on Capital</w:t>
            </w:r>
          </w:p>
        </w:tc>
        <w:tc>
          <w:tcPr>
            <w:tcW w:type="dxa" w:w="7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5"/>
                <w:szCs w:val="15"/>
                <w:rFonts w:ascii="Arial" w:cs="Arial" w:eastAsia="Arial" w:hAnsi="Arial"/>
              </w:rPr>
              <w:t xml:space="preserve">3-Year Avg ROE: 26.3%   |  Operating margin trend (TTM vs oldest annual): +112.0%  |  Gross margin trend: +89.8%</w:t>
            </w:r>
          </w:p>
        </w:tc>
      </w:tr>
      <w:tr>
        <w:tc>
          <w:tcPr>
            <w:tcW w:type="dxa" w:w="21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Cash Generation</w:t>
            </w:r>
          </w:p>
        </w:tc>
        <w:tc>
          <w:tcPr>
            <w:tcW w:type="dxa" w:w="7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5"/>
                <w:szCs w:val="15"/>
                <w:rFonts w:ascii="Arial" w:cs="Arial" w:eastAsia="Arial" w:hAnsi="Arial"/>
              </w:rPr>
              <w:t xml:space="preserve">FCF Margin TTM: 39.7%  |  CFO/Net Income: 1.06x  |  FCF/Share Growth (YoY): +3071.9%  |  CAPEX/Revenue: 27.6%</w:t>
            </w:r>
          </w:p>
        </w:tc>
      </w:tr>
      <w:tr>
        <w:tc>
          <w:tcPr>
            <w:tcW w:type="dxa" w:w="21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Balance Sheet</w:t>
            </w:r>
          </w:p>
        </w:tc>
        <w:tc>
          <w:tcPr>
            <w:tcW w:type="dxa" w:w="7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5"/>
                <w:szCs w:val="15"/>
                <w:rFonts w:ascii="Arial" w:cs="Arial" w:eastAsia="Arial" w:hAnsi="Arial"/>
              </w:rPr>
              <w:t xml:space="preserve">Net Debt/EBITDA: -0.3x  |  Interest Coverage: 942.5x  |  Equity/Assets: 70.6%</w:t>
            </w:r>
          </w:p>
        </w:tc>
      </w:tr>
      <w:tr>
        <w:tc>
          <w:tcPr>
            <w:tcW w:type="dxa" w:w="21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Shareholder Alignment</w:t>
            </w:r>
          </w:p>
        </w:tc>
        <w:tc>
          <w:tcPr>
            <w:tcW w:type="dxa" w:w="7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5"/>
                <w:szCs w:val="15"/>
                <w:rFonts w:ascii="Arial" w:cs="Arial" w:eastAsia="Arial" w:hAnsi="Arial"/>
              </w:rPr>
              <w:t xml:space="preserve">Share Count Change (12M): +0.5%  |  Buybacks (TTM as % mktcap): 0.1%  |  Insider Ownership: N/A (upgrade to FMP Ultimate)  |  Insider Buy Value (90d): $0</w:t>
            </w:r>
          </w:p>
        </w:tc>
      </w:tr>
      <w:tr>
        <w:tc>
          <w:tcPr>
            <w:tcW w:type="dxa" w:w="21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Valuation</w:t>
            </w:r>
          </w:p>
        </w:tc>
        <w:tc>
          <w:tcPr>
            <w:tcW w:type="dxa" w:w="7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5"/>
                <w:szCs w:val="15"/>
                <w:rFonts w:ascii="Arial" w:cs="Arial" w:eastAsia="Arial" w:hAnsi="Arial"/>
              </w:rPr>
              <w:t xml:space="preserve">P/E vs EPS Growth (Lynch PEG): P/E=11.7x ÷ EPS CAGR=N/A → PEG=N/A  |  EV/EBITDA: 8.8x  |  FCF/EV Yield: 5.5%  |  Market Cap Tier: $994.3B</w:t>
            </w:r>
          </w:p>
        </w:tc>
      </w:tr>
    </w:tbl>
    <w:p>
      <w:pPr>
        <w:spacing w:before="40" w:after="80"/>
        <w:jc w:val="left"/>
      </w:pPr>
      <w:r>
        <w:rPr>
          <w:b w:val="false"/>
          <w:bCs w:val="false"/>
          <w:i/>
          <w:iCs/>
          <w:color w:val="595959"/>
          <w:sz w:val="16"/>
          <w:szCs w:val="16"/>
          <w:rFonts w:ascii="Arial" w:cs="Arial" w:eastAsia="Arial" w:hAnsi="Arial"/>
        </w:rPr>
        <w:t xml:space="preserve">This is an automated research signal. Not investment advice. You are solely responsible for your own investment decisions.</w:t>
      </w:r>
    </w:p>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3 — CREDIT &amp; ANALYST RATINGS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40"/>
              <w:jc w:val="left"/>
            </w:pPr>
            <w:r>
              <w:rPr>
                <w:b/>
                <w:bCs/>
                <w:color w:val="000000"/>
                <w:sz w:val="18"/>
                <w:szCs w:val="18"/>
                <w:rFonts w:ascii="Arial" w:cs="Arial" w:eastAsia="Arial" w:hAnsi="Arial"/>
              </w:rPr>
              <w:t xml:space="preserve">Credit Rating:  </w:t>
            </w:r>
            <w:r>
              <w:rPr>
                <w:b w:val="false"/>
                <w:bCs w:val="false"/>
                <w:color w:val="595959"/>
                <w:sz w:val="18"/>
                <w:szCs w:val="18"/>
                <w:rFonts w:ascii="Arial" w:cs="Arial" w:eastAsia="Arial" w:hAnsi="Arial"/>
              </w:rPr>
              <w:t xml:space="preserve">[Upgrade to Ultimate plan]</w:t>
            </w:r>
          </w:p>
        </w:tc>
        <w:tc>
          <w:tcPr>
            <w:tcW w:type="dxa" w:w="468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40"/>
              <w:jc w:val="left"/>
            </w:pPr>
            <w:r>
              <w:rPr>
                <w:b/>
                <w:bCs/>
                <w:color w:val="000000"/>
                <w:sz w:val="18"/>
                <w:szCs w:val="18"/>
                <w:rFonts w:ascii="Arial" w:cs="Arial" w:eastAsia="Arial" w:hAnsi="Arial"/>
              </w:rPr>
              <w:t xml:space="preserve">Recent Rating Changes:</w:t>
            </w:r>
            <w:r>
              <w:rPr>
                <w:b w:val="false"/>
                <w:bCs w:val="false"/>
                <w:color w:val="595959"/>
                <w:sz w:val="16"/>
                <w:szCs w:val="16"/>
                <w:rFonts w:ascii="Arial" w:cs="Arial" w:eastAsia="Arial" w:hAnsi="Arial"/>
              </w:rPr>
              <w:t xml:space="preserve">2026-10-13 </w:t>
            </w:r>
            <w:r>
              <w:rPr>
                <w:b/>
                <w:bCs/>
                <w:color w:val="000000"/>
                <w:sz w:val="16"/>
                <w:szCs w:val="16"/>
                <w:rFonts w:ascii="Arial" w:cs="Arial" w:eastAsia="Arial" w:hAnsi="Arial"/>
              </w:rPr>
              <w:t xml:space="preserve">Rosenblatt </w:t>
            </w:r>
            <w:r>
              <w:rPr>
                <w:b w:val="false"/>
                <w:bCs w:val="false"/>
                <w:color w:val="E8801A"/>
                <w:sz w:val="16"/>
                <w:szCs w:val="16"/>
                <w:rFonts w:ascii="Arial" w:cs="Arial" w:eastAsia="Arial" w:hAnsi="Arial"/>
              </w:rPr>
              <w:t xml:space="preserve">Buy → Buy</w:t>
            </w:r>
            <w:r>
              <w:rPr>
                <w:b w:val="false"/>
                <w:bCs w:val="false"/>
                <w:color w:val="595959"/>
                <w:sz w:val="16"/>
                <w:szCs w:val="16"/>
                <w:rFonts w:ascii="Arial" w:cs="Arial" w:eastAsia="Arial" w:hAnsi="Arial"/>
              </w:rPr>
              <w:t xml:space="preserve">   2026-10-07 </w:t>
            </w:r>
            <w:r>
              <w:rPr>
                <w:b/>
                <w:bCs/>
                <w:color w:val="000000"/>
                <w:sz w:val="16"/>
                <w:szCs w:val="16"/>
                <w:rFonts w:ascii="Arial" w:cs="Arial" w:eastAsia="Arial" w:hAnsi="Arial"/>
              </w:rPr>
              <w:t xml:space="preserve">DA Davidson </w:t>
            </w:r>
            <w:r>
              <w:rPr>
                <w:b w:val="false"/>
                <w:bCs w:val="false"/>
                <w:color w:val="E8801A"/>
                <w:sz w:val="16"/>
                <w:szCs w:val="16"/>
                <w:rFonts w:ascii="Arial" w:cs="Arial" w:eastAsia="Arial" w:hAnsi="Arial"/>
              </w:rPr>
              <w:t xml:space="preserve">Buy → Buy</w:t>
            </w:r>
            <w:r>
              <w:rPr>
                <w:b w:val="false"/>
                <w:bCs w:val="false"/>
                <w:color w:val="595959"/>
                <w:sz w:val="16"/>
                <w:szCs w:val="16"/>
                <w:rFonts w:ascii="Arial" w:cs="Arial" w:eastAsia="Arial" w:hAnsi="Arial"/>
              </w:rPr>
              <w:t xml:space="preserve">   2026-10-01 </w:t>
            </w:r>
            <w:r>
              <w:rPr>
                <w:b/>
                <w:bCs/>
                <w:color w:val="000000"/>
                <w:sz w:val="16"/>
                <w:szCs w:val="16"/>
                <w:rFonts w:ascii="Arial" w:cs="Arial" w:eastAsia="Arial" w:hAnsi="Arial"/>
              </w:rPr>
              <w:t xml:space="preserve">Rosenblatt </w:t>
            </w:r>
            <w:r>
              <w:rPr>
                <w:b w:val="false"/>
                <w:bCs w:val="false"/>
                <w:color w:val="E8801A"/>
                <w:sz w:val="16"/>
                <w:szCs w:val="16"/>
                <w:rFonts w:ascii="Arial" w:cs="Arial" w:eastAsia="Arial" w:hAnsi="Arial"/>
              </w:rPr>
              <w:t xml:space="preserve">Buy → Buy</w:t>
            </w:r>
          </w:p>
        </w:tc>
      </w:tr>
      <w:tr>
        <w:tc>
          <w:tcPr>
            <w:tcW w:type="dxa" w:w="468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40" w:after="40"/>
              <w:jc w:val="left"/>
            </w:pPr>
            <w:r>
              <w:rPr>
                <w:b/>
                <w:bCs/>
                <w:color w:val="000000"/>
                <w:sz w:val="18"/>
                <w:szCs w:val="18"/>
                <w:rFonts w:ascii="Arial" w:cs="Arial" w:eastAsia="Arial" w:hAnsi="Arial"/>
              </w:rPr>
              <w:t xml:space="preserve">Analyst Consensus:  </w:t>
            </w:r>
            <w:r>
              <w:rPr>
                <w:b/>
                <w:bCs/>
                <w:color w:val="375623"/>
                <w:sz w:val="18"/>
                <w:szCs w:val="18"/>
                <w:rFonts w:ascii="Arial" w:cs="Arial" w:eastAsia="Arial" w:hAnsi="Arial"/>
              </w:rPr>
              <w:t xml:space="preserve">Bullish</w:t>
            </w:r>
          </w:p>
        </w:tc>
        <w:tc>
          <w:tcPr>
            <w:tcW w:type="dxa" w:w="468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r>
          </w:p>
        </w:tc>
      </w:tr>
      <w:tr>
        <w:tc>
          <w:tcPr>
            <w:tcW w:type="dxa" w:w="468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40" w:after="40"/>
              <w:jc w:val="left"/>
            </w:pPr>
            <w:r>
              <w:rPr>
                <w:b/>
                <w:bCs/>
                <w:color w:val="000000"/>
                <w:sz w:val="18"/>
                <w:szCs w:val="18"/>
                <w:rFonts w:ascii="Arial" w:cs="Arial" w:eastAsia="Arial" w:hAnsi="Arial"/>
              </w:rPr>
              <w:t xml:space="preserve"># Analysts Covering:  </w:t>
            </w:r>
            <w:r>
              <w:rPr>
                <w:b w:val="false"/>
                <w:bCs w:val="false"/>
                <w:color w:val="000000"/>
                <w:sz w:val="18"/>
                <w:szCs w:val="18"/>
                <w:rFonts w:ascii="Arial" w:cs="Arial" w:eastAsia="Arial" w:hAnsi="Arial"/>
              </w:rPr>
              <w:t xml:space="preserve">70 analysts</w:t>
            </w:r>
          </w:p>
        </w:tc>
        <w:tc>
          <w:tcPr>
            <w:tcW w:type="dxa" w:w="468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r>
          </w:p>
        </w:tc>
      </w:tr>
      <w:tr>
        <w:tc>
          <w:tcPr>
            <w:tcW w:type="dxa" w:w="9360"/>
            <w:gridSpan w:val="2"/>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40" w:after="40"/>
              <w:jc w:val="left"/>
            </w:pPr>
            <w:r>
              <w:rPr>
                <w:b/>
                <w:bCs/>
                <w:color w:val="000000"/>
                <w:sz w:val="18"/>
                <w:szCs w:val="18"/>
                <w:rFonts w:ascii="Arial" w:cs="Arial" w:eastAsia="Arial" w:hAnsi="Arial"/>
              </w:rPr>
              <w:t xml:space="preserve">Average Price Target:  </w:t>
            </w:r>
            <w:r>
              <w:rPr>
                <w:b w:val="false"/>
                <w:bCs w:val="false"/>
                <w:color w:val="375623"/>
                <w:sz w:val="18"/>
                <w:szCs w:val="18"/>
                <w:rFonts w:ascii="Arial" w:cs="Arial" w:eastAsia="Arial" w:hAnsi="Arial"/>
              </w:rPr>
              <w:t xml:space="preserve">$1663.33  vs  $878.84  =  +89.3% implied range above current price</w:t>
            </w:r>
          </w:p>
        </w:tc>
      </w:tr>
      <w:tr>
        <w:tc>
          <w:tcPr>
            <w:tcW w:type="dxa" w:w="468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40" w:after="40"/>
              <w:jc w:val="left"/>
            </w:pPr>
            <w:r>
              <w:rPr>
                <w:b/>
                <w:bCs/>
                <w:color w:val="000000"/>
                <w:sz w:val="18"/>
                <w:szCs w:val="18"/>
                <w:rFonts w:ascii="Arial" w:cs="Arial" w:eastAsia="Arial" w:hAnsi="Arial"/>
              </w:rPr>
              <w:t xml:space="preserve">Breakdown:  </w:t>
            </w:r>
            <w:r>
              <w:rPr>
                <w:b w:val="false"/>
                <w:bCs w:val="false"/>
                <w:color w:val="000000"/>
                <w:sz w:val="18"/>
                <w:szCs w:val="18"/>
                <w:rFonts w:ascii="Arial" w:cs="Arial" w:eastAsia="Arial" w:hAnsi="Arial"/>
              </w:rPr>
              <w:t xml:space="preserve">SB:0 B:58 H:10 S:2 SS:0</w:t>
            </w:r>
          </w:p>
        </w:tc>
        <w:tc>
          <w:tcPr>
            <w:tcW w:type="dxa" w:w="468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r>
          </w:p>
        </w:tc>
      </w:tr>
      <w:tr>
        <w:tc>
          <w:tcPr>
            <w:tcW w:type="dxa" w:w="468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40" w:after="40"/>
              <w:jc w:val="left"/>
            </w:pPr>
            <w:r>
              <w:rPr>
                <w:b/>
                <w:bCs/>
                <w:color w:val="000000"/>
                <w:sz w:val="18"/>
                <w:szCs w:val="18"/>
                <w:rFonts w:ascii="Arial" w:cs="Arial" w:eastAsia="Arial" w:hAnsi="Arial"/>
              </w:rPr>
              <w:t xml:space="preserve">Implied Return / Risk Ratio:  </w:t>
            </w:r>
            <w:r>
              <w:rPr>
                <w:b/>
                <w:bCs/>
                <w:color w:val="375623"/>
                <w:sz w:val="18"/>
                <w:szCs w:val="18"/>
                <w:rFonts w:ascii="Arial" w:cs="Arial" w:eastAsia="Arial" w:hAnsi="Arial"/>
              </w:rPr>
              <w:t xml:space="preserve">1 : 8.3</w:t>
            </w:r>
          </w:p>
        </w:tc>
        <w:tc>
          <w:tcPr>
            <w:tcW w:type="dxa" w:w="468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40" w:after="40"/>
              <w:jc w:val="left"/>
            </w:pPr>
            <w:r>
              <w:rPr>
                <w:b/>
                <w:bCs/>
                <w:color w:val="000000"/>
                <w:sz w:val="17"/>
                <w:szCs w:val="17"/>
                <w:rFonts w:ascii="Arial" w:cs="Arial" w:eastAsia="Arial" w:hAnsi="Arial"/>
              </w:rPr>
              <w:t xml:space="preserve">Reading:  </w:t>
            </w:r>
            <w:r>
              <w:rPr>
                <w:b w:val="false"/>
                <w:bCs w:val="false"/>
                <w:color w:val="375623"/>
                <w:sz w:val="17"/>
                <w:szCs w:val="17"/>
                <w:rFonts w:ascii="Arial" w:cs="Arial" w:eastAsia="Arial" w:hAnsi="Arial"/>
              </w:rPr>
              <w:t xml:space="preserve">Favorable (≥1:3)</w:t>
            </w:r>
          </w:p>
        </w:tc>
      </w:tr>
    </w:tbl>
    <w:p>
      <w:pPr>
        <w:spacing w:before="40" w:after="40"/>
        <w:jc w:val="left"/>
      </w:pPr>
      <w:r>
        <w:rPr>
          <w:b w:val="false"/>
          <w:bCs w:val="false"/>
          <w:i/>
          <w:iCs/>
          <w:color w:val="595959"/>
          <w:sz w:val="16"/>
          <w:szCs w:val="16"/>
          <w:rFonts w:ascii="Arial" w:cs="Arial" w:eastAsia="Arial" w:hAnsi="Arial"/>
        </w:rPr>
        <w:t xml:space="preserve">ℹ  Implied Return/Risk = (analyst avg target − current price) ÷ (ATR × cap multiplier). Based on analyst consensus target. Not a trade recommendation. Ratio calculation: Target $1663.33 vs current $878.84</w:t>
      </w:r>
    </w:p>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4 — GROWTH &amp; PROFITABILITY</w:t>
      </w:r>
    </w:p>
    <w:p>
      <w:pPr>
        <w:spacing w:before="40" w:after="40"/>
        <w:jc w:val="left"/>
      </w:pPr>
      <w:r>
        <w:rPr>
          <w:b w:val="false"/>
          <w:bCs w:val="false"/>
          <w:i/>
          <w:iCs/>
          <w:color w:val="595959"/>
          <w:sz w:val="16"/>
          <w:szCs w:val="16"/>
          <w:rFonts w:ascii="Arial" w:cs="Arial" w:eastAsia="Arial" w:hAnsi="Arial"/>
        </w:rPr>
        <w:t xml:space="preserve">ℹ  All figures in USD millions except EPS (USD, 2 decimal places), share count (millions of shares), ratios, and %. Percentages shown to 1 decimal place. Annual data (FMP). TTM = sum of last 4 quarters. Q1 = most recent quarter.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840"/>
        <w:gridCol w:w="840"/>
        <w:gridCol w:w="840"/>
        <w:gridCol w:w="840"/>
        <w:gridCol w:w="960"/>
        <w:gridCol w:w="900"/>
        <w:gridCol w:w="900"/>
        <w:gridCol w:w="900"/>
        <w:gridCol w:w="900"/>
      </w:tblGrid>
      <w:tr>
        <w:tc>
          <w:tcPr>
            <w:tcW w:type="dxa" w:w="14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Metric</w:t>
            </w:r>
          </w:p>
        </w:tc>
        <w:tc>
          <w:tcPr>
            <w:tcW w:type="dxa" w:w="840"/>
            <w:gridSpan w:val="1"/>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2023</w:t>
            </w:r>
          </w:p>
        </w:tc>
        <w:tc>
          <w:tcPr>
            <w:tcW w:type="dxa" w:w="840"/>
            <w:gridSpan w:val="1"/>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2024</w:t>
            </w:r>
          </w:p>
        </w:tc>
        <w:tc>
          <w:tcPr>
            <w:tcW w:type="dxa" w:w="840"/>
            <w:gridSpan w:val="1"/>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2025</w:t>
            </w:r>
          </w:p>
        </w:tc>
        <w:tc>
          <w:tcPr>
            <w:tcW w:type="dxa" w:w="840"/>
            <w:gridSpan w:val="1"/>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2026</w:t>
            </w:r>
          </w:p>
        </w:tc>
        <w:tc>
          <w:tcPr>
            <w:tcW w:type="dxa" w:w="960"/>
            <w:gridSpan w:val="1"/>
            <w:tcBorders>
              <w:top w:val="single" w:color="BFBFBF" w:sz="1"/>
              <w:left w:val="single" w:color="BFBFBF" w:sz="1"/>
              <w:bottom w:val="single" w:color="BFBFBF" w:sz="1"/>
              <w:right w:val="single" w:color="BFBFBF" w:sz="1"/>
            </w:tcBorders>
            <w:shd w:fill="2B6CB0"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TTM</w:t>
            </w:r>
          </w:p>
        </w:tc>
        <w:tc>
          <w:tcPr>
            <w:tcW w:type="dxa" w:w="9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4"/>
                <w:szCs w:val="14"/>
                <w:rFonts w:ascii="Arial" w:cs="Arial" w:eastAsia="Arial" w:hAnsi="Arial"/>
              </w:rPr>
              <w:t xml:space="preserve">2025-11</w:t>
            </w:r>
          </w:p>
        </w:tc>
        <w:tc>
          <w:tcPr>
            <w:tcW w:type="dxa" w:w="9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4"/>
                <w:szCs w:val="14"/>
                <w:rFonts w:ascii="Arial" w:cs="Arial" w:eastAsia="Arial" w:hAnsi="Arial"/>
              </w:rPr>
              <w:t xml:space="preserve">2026-02</w:t>
            </w:r>
          </w:p>
        </w:tc>
        <w:tc>
          <w:tcPr>
            <w:tcW w:type="dxa" w:w="9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4"/>
                <w:szCs w:val="14"/>
                <w:rFonts w:ascii="Arial" w:cs="Arial" w:eastAsia="Arial" w:hAnsi="Arial"/>
              </w:rPr>
              <w:t xml:space="preserve">2026-05</w:t>
            </w:r>
          </w:p>
        </w:tc>
        <w:tc>
          <w:tcPr>
            <w:tcW w:type="dxa" w:w="9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4"/>
                <w:szCs w:val="14"/>
                <w:rFonts w:ascii="Arial" w:cs="Arial" w:eastAsia="Arial" w:hAnsi="Arial"/>
              </w:rPr>
              <w:t xml:space="preserve">2026-09</w:t>
            </w:r>
          </w:p>
        </w:tc>
      </w:tr>
      <w:tr>
        <w:tc>
          <w:tcPr>
            <w:tcW w:type="dxa" w:w="9360"/>
            <w:gridSpan w:val="9"/>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7"/>
                <w:szCs w:val="17"/>
                <w:rFonts w:ascii="Arial" w:cs="Arial" w:eastAsia="Arial" w:hAnsi="Arial"/>
              </w:rPr>
              <w:t xml:space="preserve">A — GROWTH</w:t>
            </w:r>
          </w:p>
        </w:tc>
      </w:tr>
      <w:tr>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Revenue ($M)</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15,540</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25,111</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37,378</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133,188</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6"/>
                <w:szCs w:val="16"/>
                <w:rFonts w:ascii="Arial" w:cs="Arial" w:eastAsia="Arial" w:hAnsi="Arial"/>
              </w:rPr>
              <w:t xml:space="preserve">133,188</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13,643</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23,860</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41,456</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54,229</w:t>
            </w:r>
          </w:p>
        </w:tc>
      </w:tr>
      <w:tr>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  Revenue YoY % (vs same qtr prior yr)</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5"/>
                <w:szCs w:val="15"/>
                <w:rFonts w:ascii="Arial" w:cs="Arial" w:eastAsia="Arial" w:hAnsi="Arial"/>
              </w:rPr>
              <w:t xml:space="preserve">N/A</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5"/>
                <w:szCs w:val="15"/>
                <w:rFonts w:ascii="Arial" w:cs="Arial" w:eastAsia="Arial" w:hAnsi="Arial"/>
              </w:rPr>
              <w:t xml:space="preserve">+61.6%</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5"/>
                <w:szCs w:val="15"/>
                <w:rFonts w:ascii="Arial" w:cs="Arial" w:eastAsia="Arial" w:hAnsi="Arial"/>
              </w:rPr>
              <w:t xml:space="preserve">+48.9%</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5"/>
                <w:szCs w:val="15"/>
                <w:rFonts w:ascii="Arial" w:cs="Arial" w:eastAsia="Arial" w:hAnsi="Arial"/>
              </w:rPr>
              <w:t xml:space="preserve">+256.3%</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val="false"/>
                <w:bCs w:val="false"/>
                <w:color w:val="375623"/>
                <w:sz w:val="15"/>
                <w:szCs w:val="15"/>
                <w:rFonts w:ascii="Arial" w:cs="Arial" w:eastAsia="Arial" w:hAnsi="Arial"/>
              </w:rPr>
              <w:t xml:space="preserve">+256.3%</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5"/>
                <w:szCs w:val="15"/>
                <w:rFonts w:ascii="Arial" w:cs="Arial" w:eastAsia="Arial" w:hAnsi="Arial"/>
              </w:rPr>
              <w:t xml:space="preserve">+56.7%</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5"/>
                <w:szCs w:val="15"/>
                <w:rFonts w:ascii="Arial" w:cs="Arial" w:eastAsia="Arial" w:hAnsi="Arial"/>
              </w:rPr>
              <w:t xml:space="preserve">+196.3%</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5"/>
                <w:szCs w:val="15"/>
                <w:rFonts w:ascii="Arial" w:cs="Arial" w:eastAsia="Arial" w:hAnsi="Arial"/>
              </w:rPr>
              <w:t xml:space="preserve">+345.7%</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5"/>
                <w:szCs w:val="15"/>
                <w:rFonts w:ascii="Arial" w:cs="Arial" w:eastAsia="Arial" w:hAnsi="Arial"/>
              </w:rPr>
              <w:t xml:space="preserve">+379.3%</w:t>
            </w:r>
          </w:p>
        </w:tc>
      </w:tr>
      <w:tr>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Net Profit ($M)</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-5,833</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778.0</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8,539</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84,969</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6"/>
                <w:szCs w:val="16"/>
                <w:rFonts w:ascii="Arial" w:cs="Arial" w:eastAsia="Arial" w:hAnsi="Arial"/>
              </w:rPr>
              <w:t xml:space="preserve">84,969</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5,240</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13,785</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28,243</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37,701</w:t>
            </w:r>
          </w:p>
        </w:tc>
      </w:tr>
      <w:tr>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EPS Diluted ($)</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C00000"/>
                <w:sz w:val="16"/>
                <w:szCs w:val="16"/>
                <w:rFonts w:ascii="Arial" w:cs="Arial" w:eastAsia="Arial" w:hAnsi="Arial"/>
              </w:rPr>
              <w:t xml:space="preserve">−$5.34</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$0.70</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$7.59</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$74.33</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375623"/>
                <w:sz w:val="16"/>
                <w:szCs w:val="16"/>
                <w:rFonts w:ascii="Arial" w:cs="Arial" w:eastAsia="Arial" w:hAnsi="Arial"/>
              </w:rPr>
              <w:t xml:space="preserve">$75.31</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$4.60</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$12.08</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$24.67</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$32.87</w:t>
            </w:r>
          </w:p>
        </w:tc>
      </w:tr>
      <w:tr>
        <w:tc>
          <w:tcPr>
            <w:tcW w:type="dxa" w:w="9360"/>
            <w:gridSpan w:val="9"/>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7"/>
                <w:szCs w:val="17"/>
                <w:rFonts w:ascii="Arial" w:cs="Arial" w:eastAsia="Arial" w:hAnsi="Arial"/>
              </w:rPr>
              <w:t xml:space="preserve">B — PROFITABILITY</w:t>
            </w:r>
          </w:p>
        </w:tc>
      </w:tr>
      <w:tr>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Gross Margin %</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C00000"/>
                <w:sz w:val="16"/>
                <w:szCs w:val="16"/>
                <w:rFonts w:ascii="Arial" w:cs="Arial" w:eastAsia="Arial" w:hAnsi="Arial"/>
              </w:rPr>
              <w:t xml:space="preserve">-9.1%</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+22.4%</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+39.8%</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+80.7%</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375623"/>
                <w:sz w:val="16"/>
                <w:szCs w:val="16"/>
                <w:rFonts w:ascii="Arial" w:cs="Arial" w:eastAsia="Arial" w:hAnsi="Arial"/>
              </w:rPr>
              <w:t xml:space="preserve">+80.7%</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+56.0%</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+74.4%</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+84.6%</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+86.8%</w:t>
            </w:r>
          </w:p>
        </w:tc>
      </w:tr>
      <w:tr>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Operating Margin %</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C00000"/>
                <w:sz w:val="16"/>
                <w:szCs w:val="16"/>
                <w:rFonts w:ascii="Arial" w:cs="Arial" w:eastAsia="Arial" w:hAnsi="Arial"/>
              </w:rPr>
              <w:t xml:space="preserve">-37.0%</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+5.2%</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+26.4%</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+75.0%</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375623"/>
                <w:sz w:val="16"/>
                <w:szCs w:val="16"/>
                <w:rFonts w:ascii="Arial" w:cs="Arial" w:eastAsia="Arial" w:hAnsi="Arial"/>
              </w:rPr>
              <w:t xml:space="preserve">+75.0%</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+45.0%</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+67.6%</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+80.4%</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+81.7%</w:t>
            </w:r>
          </w:p>
        </w:tc>
      </w:tr>
      <w:tr>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Net Profit Margin %</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C00000"/>
                <w:sz w:val="16"/>
                <w:szCs w:val="16"/>
                <w:rFonts w:ascii="Arial" w:cs="Arial" w:eastAsia="Arial" w:hAnsi="Arial"/>
              </w:rPr>
              <w:t xml:space="preserve">-37.5%</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+3.1%</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+22.8%</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+63.8%</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375623"/>
                <w:sz w:val="16"/>
                <w:szCs w:val="16"/>
                <w:rFonts w:ascii="Arial" w:cs="Arial" w:eastAsia="Arial" w:hAnsi="Arial"/>
              </w:rPr>
              <w:t xml:space="preserve">+63.8%</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+38.4%</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+57.8%</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+68.1%</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+69.5%</w:t>
            </w:r>
          </w:p>
        </w:tc>
      </w:tr>
      <w:tr>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ROE % (Return on Equity)</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C00000"/>
                <w:sz w:val="16"/>
                <w:szCs w:val="16"/>
                <w:rFonts w:ascii="Arial" w:cs="Arial" w:eastAsia="Arial" w:hAnsi="Arial"/>
              </w:rPr>
              <w:t xml:space="preserve">-13.2%</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+1.7%</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+15.8%</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+61.4%</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375623"/>
                <w:sz w:val="16"/>
                <w:szCs w:val="16"/>
                <w:rFonts w:ascii="Arial" w:cs="Arial" w:eastAsia="Arial" w:hAnsi="Arial"/>
              </w:rPr>
              <w:t xml:space="preserve">+61.4%</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6"/>
                <w:szCs w:val="16"/>
                <w:rFonts w:ascii="Arial" w:cs="Arial" w:eastAsia="Arial" w:hAnsi="Arial"/>
              </w:rPr>
              <w:t xml:space="preserve">N/A</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6"/>
                <w:szCs w:val="16"/>
                <w:rFonts w:ascii="Arial" w:cs="Arial" w:eastAsia="Arial" w:hAnsi="Arial"/>
              </w:rPr>
              <w:t xml:space="preserve">N/A</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6"/>
                <w:szCs w:val="16"/>
                <w:rFonts w:ascii="Arial" w:cs="Arial" w:eastAsia="Arial" w:hAnsi="Arial"/>
              </w:rPr>
              <w:t xml:space="preserve">N/A</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6"/>
                <w:szCs w:val="16"/>
                <w:rFonts w:ascii="Arial" w:cs="Arial" w:eastAsia="Arial" w:hAnsi="Arial"/>
              </w:rPr>
              <w:t xml:space="preserve">N/A</w:t>
            </w:r>
          </w:p>
        </w:tc>
      </w:tr>
      <w:tr>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FCF Margin %</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C00000"/>
                <w:sz w:val="16"/>
                <w:szCs w:val="16"/>
                <w:rFonts w:ascii="Arial" w:cs="Arial" w:eastAsia="Arial" w:hAnsi="Arial"/>
              </w:rPr>
              <w:t xml:space="preserve">-39.4%</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+0.5%</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+4.5%</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+44.3%</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375623"/>
                <w:sz w:val="16"/>
                <w:szCs w:val="16"/>
                <w:rFonts w:ascii="Arial" w:cs="Arial" w:eastAsia="Arial" w:hAnsi="Arial"/>
              </w:rPr>
              <w:t xml:space="preserve">+39.7%</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+22.2%</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+23.1%</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+42.4%</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375623"/>
                <w:sz w:val="16"/>
                <w:szCs w:val="16"/>
                <w:rFonts w:ascii="Arial" w:cs="Arial" w:eastAsia="Arial" w:hAnsi="Arial"/>
              </w:rPr>
              <w:t xml:space="preserve">+49.4%</w:t>
            </w:r>
          </w:p>
        </w:tc>
      </w:tr>
      <w:tr>
        <w:tc>
          <w:tcPr>
            <w:tcW w:type="dxa" w:w="9360"/>
            <w:gridSpan w:val="9"/>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7"/>
                <w:szCs w:val="17"/>
                <w:rFonts w:ascii="Arial" w:cs="Arial" w:eastAsia="Arial" w:hAnsi="Arial"/>
              </w:rPr>
              <w:t xml:space="preserve">C — CASH CONVERSION</w:t>
            </w:r>
          </w:p>
        </w:tc>
      </w:tr>
      <w:tr>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CFO / Net Income</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-0.27x</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10.93x</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2.05x</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1.06x</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6"/>
                <w:szCs w:val="16"/>
                <w:rFonts w:ascii="Arial" w:cs="Arial" w:eastAsia="Arial" w:hAnsi="Arial"/>
              </w:rPr>
              <w:t xml:space="preserve">1.06x</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1.61x</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0.86x</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0.90x</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1.17x</w:t>
            </w:r>
          </w:p>
        </w:tc>
      </w:tr>
      <w:tr>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CFO ($M)</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1,559</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8,507</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17,525</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89,675</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6"/>
                <w:szCs w:val="16"/>
                <w:rFonts w:ascii="Arial" w:cs="Arial" w:eastAsia="Arial" w:hAnsi="Arial"/>
              </w:rPr>
              <w:t xml:space="preserve">89,675</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8,411</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11,903</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25,388</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43,973</w:t>
            </w:r>
          </w:p>
        </w:tc>
      </w:tr>
      <w:tr>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FCF ($M)</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-6,117</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121.0</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1,668</w:t>
            </w:r>
          </w:p>
        </w:tc>
        <w:tc>
          <w:tcPr>
            <w:tcW w:type="dxa" w:w="8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58,963</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6"/>
                <w:szCs w:val="16"/>
                <w:rFonts w:ascii="Arial" w:cs="Arial" w:eastAsia="Arial" w:hAnsi="Arial"/>
              </w:rPr>
              <w:t xml:space="preserve">52,908</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3,022</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5,516</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17,562</w:t>
            </w:r>
          </w:p>
        </w:tc>
        <w:tc>
          <w:tcPr>
            <w:tcW w:type="dxa" w:w="9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26,808</w:t>
            </w:r>
          </w:p>
        </w:tc>
      </w:tr>
      <w:tr>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CAPEX ($M)</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-7,676</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-8,386</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-15,857</w:t>
            </w:r>
          </w:p>
        </w:tc>
        <w:tc>
          <w:tcPr>
            <w:tcW w:type="dxa" w:w="8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-30,712</w:t>
            </w:r>
          </w:p>
        </w:tc>
        <w:tc>
          <w:tcPr>
            <w:tcW w:type="dxa" w:w="96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6"/>
                <w:szCs w:val="16"/>
                <w:rFonts w:ascii="Arial" w:cs="Arial" w:eastAsia="Arial" w:hAnsi="Arial"/>
              </w:rPr>
              <w:t xml:space="preserve">-36,767</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-5,389</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-6,387</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-7,826</w:t>
            </w:r>
          </w:p>
        </w:tc>
        <w:tc>
          <w:tcPr>
            <w:tcW w:type="dxa" w:w="9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-17,165</w:t>
            </w:r>
          </w:p>
        </w:tc>
      </w:tr>
    </w:tbl>
    <w:p>
      <w:pPr>
        <w:spacing w:before="40" w:after="40"/>
        <w:jc w:val="left"/>
      </w:pPr>
      <w:r>
        <w:rPr>
          <w:b w:val="false"/>
          <w:bCs w:val="false"/>
          <w:i/>
          <w:iCs/>
          <w:color w:val="595959"/>
          <w:sz w:val="16"/>
          <w:szCs w:val="16"/>
          <w:rFonts w:ascii="Arial" w:cs="Arial" w:eastAsia="Arial" w:hAnsi="Arial"/>
        </w:rPr>
        <w:t xml:space="preserve">ℹ  CFO/Net Income: &gt;1.0x strong cash conversion | 0.7–1.0x acceptable | &lt;0.7x possible earnings quality concern | Negative = flag for review. CAPEX shown as negative (cash outflow). FCF = CFO − CAPEX.</w:t>
      </w:r>
    </w:p>
    <w:p>
      <w:pPr>
        <w:spacing w:before="40" w:after="40"/>
        <w:jc w:val="left"/>
      </w:pPr>
      <w:r>
        <w:rPr>
          <w:b w:val="false"/>
          <w:bCs w:val="false"/>
          <w:i/>
          <w:iCs/>
          <w:color w:val="595959"/>
          <w:sz w:val="16"/>
          <w:szCs w:val="16"/>
          <w:rFonts w:ascii="Arial" w:cs="Arial" w:eastAsia="Arial" w:hAnsi="Arial"/>
        </w:rPr>
        <w:t xml:space="preserve">ℹ  ROE: Net Income ÷ Avg Equity. Negative ROE = net loss year. ⚠ If both Net Loss AND Equity are negative, ROE turns mathematically positive — this is misleading and not a sign of profitability.</w:t>
      </w:r>
    </w:p>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FF9E6" w:val="clear"/>
            <w:tcMar>
              <w:top w:type="dxa" w:w="120"/>
              <w:left w:type="dxa" w:w="160"/>
              <w:bottom w:type="dxa" w:w="120"/>
              <w:right w:type="dxa" w:w="160"/>
            </w:tcMar>
          </w:tcPr>
          <w:p>
            <w:pPr>
              <w:spacing w:before="0" w:after="0"/>
              <w:jc w:val="left"/>
            </w:pPr>
            <w:r>
              <w:rPr>
                <w:b w:val="false"/>
                <w:bCs w:val="false"/>
                <w:color w:val="000000"/>
                <w:sz w:val="19"/>
                <w:szCs w:val="19"/>
                <w:rFonts w:ascii="Arial" w:cs="Arial" w:eastAsia="Arial" w:hAnsi="Arial"/>
              </w:rPr>
              <w:t xml:space="preserve">Micron has executed one of the most dramatic growth inflections in the semiconductor sector. Revenue CAGR of approximately 104.6% over three years reflects both cyclical recovery and structural AI-driven demand for HBM. Operating margins expanded from -37% in 2023 to 26.4% in 2025 and 75% on a TTM basis, a trajectory that signals both operating leverage and favorable product mix shift. ROE tells a compelling story: from -13.2% in 2023 to 1.7% in 2024, 15.8% in 2025, and 61.4% in 2026/TTM — this is a textbook turnaround now entering wealth-compounder territory, as ROE consistently above 20% is the threshold for sustained value creation, and Micron has crossed it decisively. FCF margin at 39.7% TTM on $133.19B revenue implies robust cash generation, though specific FCF CAGR data is unavailable for precise trending. Given the heavy capex nature of semiconductor manufacturing, this FCF conversion rate is impressive and suggests pricing power is more than covering investment requirements at current cycle peaks.</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5 — GUIDANCE &amp; EARNINGS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Item</w:t>
            </w:r>
          </w:p>
        </w:tc>
        <w:tc>
          <w:tcPr>
            <w:tcW w:type="dxa" w:w="62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Data</w:t>
            </w:r>
          </w:p>
        </w:tc>
      </w:tr>
      <w:tr>
        <w:tc>
          <w:tcPr>
            <w:tcW w:type="dxa" w:w="312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7"/>
                <w:szCs w:val="17"/>
                <w:rFonts w:ascii="Arial" w:cs="Arial" w:eastAsia="Arial" w:hAnsi="Arial"/>
              </w:rPr>
              <w:t xml:space="preserve">Last Earnings Call Date</w:t>
            </w:r>
          </w:p>
        </w:tc>
        <w:tc>
          <w:tcPr>
            <w:tcW w:type="dxa" w:w="62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7"/>
                <w:szCs w:val="17"/>
                <w:rFonts w:ascii="Arial" w:cs="Arial" w:eastAsia="Arial" w:hAnsi="Arial"/>
              </w:rPr>
              <w:t xml:space="preserve">[Upgrade to FMP Ultimate for transcript access]</w:t>
            </w:r>
          </w:p>
        </w:tc>
      </w:tr>
      <w:tr>
        <w:tc>
          <w:tcPr>
            <w:tcW w:type="dxa" w:w="31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7"/>
                <w:szCs w:val="17"/>
                <w:rFonts w:ascii="Arial" w:cs="Arial" w:eastAsia="Arial" w:hAnsi="Arial"/>
              </w:rPr>
              <w:t xml:space="preserve">Next Earnings Date</w:t>
            </w:r>
          </w:p>
        </w:tc>
        <w:tc>
          <w:tcPr>
            <w:tcW w:type="dxa" w:w="62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7"/>
                <w:szCs w:val="17"/>
                <w:rFonts w:ascii="Arial" w:cs="Arial" w:eastAsia="Arial" w:hAnsi="Arial"/>
              </w:rPr>
              <w:t xml:space="preserve">[Not available]</w:t>
            </w:r>
          </w:p>
        </w:tc>
      </w:tr>
      <w:tr>
        <w:tc>
          <w:tcPr>
            <w:tcW w:type="dxa" w:w="312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7"/>
                <w:szCs w:val="17"/>
                <w:rFonts w:ascii="Arial" w:cs="Arial" w:eastAsia="Arial" w:hAnsi="Arial"/>
              </w:rPr>
              <w:t xml:space="preserve">Revenue: Reported vs Estimate</w:t>
            </w:r>
          </w:p>
        </w:tc>
        <w:tc>
          <w:tcPr>
            <w:tcW w:type="dxa" w:w="62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7"/>
                <w:szCs w:val="17"/>
                <w:rFonts w:ascii="Arial" w:cs="Arial" w:eastAsia="Arial" w:hAnsi="Arial"/>
              </w:rPr>
              <w:t xml:space="preserve">[Upgrade to FMP Ultimate]</w:t>
            </w:r>
          </w:p>
        </w:tc>
      </w:tr>
      <w:tr>
        <w:tc>
          <w:tcPr>
            <w:tcW w:type="dxa" w:w="31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7"/>
                <w:szCs w:val="17"/>
                <w:rFonts w:ascii="Arial" w:cs="Arial" w:eastAsia="Arial" w:hAnsi="Arial"/>
              </w:rPr>
              <w:t xml:space="preserve">EPS: Reported vs Estimate</w:t>
            </w:r>
          </w:p>
        </w:tc>
        <w:tc>
          <w:tcPr>
            <w:tcW w:type="dxa" w:w="62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7"/>
                <w:szCs w:val="17"/>
                <w:rFonts w:ascii="Arial" w:cs="Arial" w:eastAsia="Arial" w:hAnsi="Arial"/>
              </w:rPr>
              <w:t xml:space="preserve">[Upgrade to FMP Ultimate]</w:t>
            </w:r>
          </w:p>
        </w:tc>
      </w:tr>
      <w:tr>
        <w:tc>
          <w:tcPr>
            <w:tcW w:type="dxa" w:w="312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7"/>
                <w:szCs w:val="17"/>
                <w:rFonts w:ascii="Arial" w:cs="Arial" w:eastAsia="Arial" w:hAnsi="Arial"/>
              </w:rPr>
              <w:t xml:space="preserve">EPS Beat/Miss History</w:t>
            </w:r>
          </w:p>
        </w:tc>
        <w:tc>
          <w:tcPr>
            <w:tcW w:type="dxa" w:w="62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7"/>
                <w:szCs w:val="17"/>
                <w:rFonts w:ascii="Arial" w:cs="Arial" w:eastAsia="Arial" w:hAnsi="Arial"/>
              </w:rPr>
              <w:t xml:space="preserve">[Upgrade to FMP Ultimate for earnings surprise data]</w:t>
            </w:r>
          </w:p>
        </w:tc>
      </w:tr>
      <w:tr>
        <w:tc>
          <w:tcPr>
            <w:tcW w:type="dxa" w:w="31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7"/>
                <w:szCs w:val="17"/>
                <w:rFonts w:ascii="Arial" w:cs="Arial" w:eastAsia="Arial" w:hAnsi="Arial"/>
              </w:rPr>
              <w:t xml:space="preserve">Forward Guidance vs Previous</w:t>
            </w:r>
          </w:p>
        </w:tc>
        <w:tc>
          <w:tcPr>
            <w:tcW w:type="dxa" w:w="62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7"/>
                <w:szCs w:val="17"/>
                <w:rFonts w:ascii="Arial" w:cs="Arial" w:eastAsia="Arial" w:hAnsi="Arial"/>
              </w:rPr>
              <w:t xml:space="preserve">[Upgrade to FMP Ultimate]</w:t>
            </w:r>
          </w:p>
        </w:tc>
      </w:tr>
      <w:tr>
        <w:tc>
          <w:tcPr>
            <w:tcW w:type="dxa" w:w="312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7"/>
                <w:szCs w:val="17"/>
                <w:rFonts w:ascii="Arial" w:cs="Arial" w:eastAsia="Arial" w:hAnsi="Arial"/>
              </w:rPr>
              <w:t xml:space="preserve">Management Tone</w:t>
            </w:r>
          </w:p>
        </w:tc>
        <w:tc>
          <w:tcPr>
            <w:tcW w:type="dxa" w:w="62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7"/>
                <w:szCs w:val="17"/>
                <w:rFonts w:ascii="Arial" w:cs="Arial" w:eastAsia="Arial" w:hAnsi="Arial"/>
              </w:rPr>
              <w:t xml:space="preserve">[Upgrade to FMP Ultimate]</w:t>
            </w:r>
          </w:p>
        </w:tc>
      </w:tr>
      <w:tr>
        <w:tc>
          <w:tcPr>
            <w:tcW w:type="dxa" w:w="31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7"/>
                <w:szCs w:val="17"/>
                <w:rFonts w:ascii="Arial" w:cs="Arial" w:eastAsia="Arial" w:hAnsi="Arial"/>
              </w:rPr>
              <w:t xml:space="preserve">Transcript Summary — Guidance</w:t>
            </w:r>
          </w:p>
        </w:tc>
        <w:tc>
          <w:tcPr>
            <w:tcW w:type="dxa" w:w="62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7"/>
                <w:szCs w:val="17"/>
                <w:rFonts w:ascii="Arial" w:cs="Arial" w:eastAsia="Arial" w:hAnsi="Arial"/>
              </w:rPr>
              <w:t xml:space="preserve">[Upgrade to FMP Ultimate for earnings transcript data]</w:t>
            </w:r>
          </w:p>
        </w:tc>
      </w:tr>
    </w:tbl>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FF9E6" w:val="clear"/>
            <w:tcMar>
              <w:top w:type="dxa" w:w="120"/>
              <w:left w:type="dxa" w:w="160"/>
              <w:bottom w:type="dxa" w:w="120"/>
              <w:right w:type="dxa" w:w="160"/>
            </w:tcMar>
          </w:tcPr>
          <w:p>
            <w:pPr>
              <w:spacing w:before="0" w:after="0"/>
              <w:jc w:val="left"/>
            </w:pPr>
            <w:r>
              <w:rPr>
                <w:b w:val="false"/>
                <w:bCs w:val="false"/>
                <w:color w:val="000000"/>
                <w:sz w:val="19"/>
                <w:szCs w:val="19"/>
                <w:rFonts w:ascii="Arial" w:cs="Arial" w:eastAsia="Arial" w:hAnsi="Arial"/>
              </w:rPr>
              <w:t xml:space="preserve">No earnings transcript is available; guidance assessment cannot be made from available data.</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6 — BALANCE SHEET STRENGTH</w:t>
      </w:r>
    </w:p>
    <w:p>
      <w:pPr>
        <w:spacing w:before="40" w:after="40"/>
        <w:jc w:val="left"/>
      </w:pPr>
      <w:r>
        <w:rPr>
          <w:b w:val="false"/>
          <w:bCs w:val="false"/>
          <w:i/>
          <w:iCs/>
          <w:color w:val="595959"/>
          <w:sz w:val="16"/>
          <w:szCs w:val="16"/>
          <w:rFonts w:ascii="Arial" w:cs="Arial" w:eastAsia="Arial" w:hAnsi="Arial"/>
        </w:rPr>
        <w:t xml:space="preserve">ℹ  All figures in USD millions except ratios and %. Time horizon: Annual (3 years) + Latest Quarter. Balance sheet items are point-in-time snapshots. Ratios using income statement items use TTM figures.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20"/>
        <w:gridCol w:w="1440"/>
        <w:gridCol w:w="3960"/>
        <w:gridCol w:w="1440"/>
      </w:tblGrid>
      <w:tr>
        <w:tc>
          <w:tcPr>
            <w:tcW w:type="dxa" w:w="252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Metric</w:t>
            </w:r>
          </w:p>
        </w:tc>
        <w:tc>
          <w:tcPr>
            <w:tcW w:type="dxa" w:w="14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Value</w:t>
            </w:r>
          </w:p>
        </w:tc>
        <w:tc>
          <w:tcPr>
            <w:tcW w:type="dxa" w:w="39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Context</w:t>
            </w:r>
          </w:p>
        </w:tc>
        <w:tc>
          <w:tcPr>
            <w:tcW w:type="dxa" w:w="14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Reading</w:t>
            </w:r>
          </w:p>
        </w:tc>
      </w:tr>
      <w:tr>
        <w:tc>
          <w:tcPr>
            <w:tcW w:type="dxa" w:w="25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Cash &amp; Short-term Investments</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38,364M</w:t>
            </w:r>
          </w:p>
        </w:tc>
        <w:tc>
          <w:tcPr>
            <w:tcW w:type="dxa" w:w="39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Immediate liquidity buffer available to fund operations, acquisitions, or withstand periods of negative free cash flow</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E8801A"/>
                <w:sz w:val="18"/>
                <w:szCs w:val="18"/>
                <w:rFonts w:ascii="Arial" w:cs="Arial" w:eastAsia="Arial" w:hAnsi="Arial"/>
              </w:rPr>
              <w:t xml:space="preserve">Neutral</w:t>
            </w:r>
          </w:p>
        </w:tc>
      </w:tr>
      <w:tr>
        <w:tc>
          <w:tcPr>
            <w:tcW w:type="dxa" w:w="25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Net Debt</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-33,185M</w:t>
            </w:r>
          </w:p>
        </w:tc>
        <w:tc>
          <w:tcPr>
            <w:tcW w:type="dxa" w:w="39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Net cash position (cash exceeds total debt) — company owes nothing on net basis</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375623"/>
                <w:sz w:val="18"/>
                <w:szCs w:val="18"/>
                <w:rFonts w:ascii="Arial" w:cs="Arial" w:eastAsia="Arial" w:hAnsi="Arial"/>
              </w:rPr>
              <w:t xml:space="preserve">Strong</w:t>
            </w:r>
          </w:p>
        </w:tc>
      </w:tr>
      <w:tr>
        <w:tc>
          <w:tcPr>
            <w:tcW w:type="dxa" w:w="25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Net Debt / EBITDA</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-0.3x</w:t>
            </w:r>
          </w:p>
        </w:tc>
        <w:tc>
          <w:tcPr>
            <w:tcW w:type="dxa" w:w="39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&lt;2x Conservative | 2–3x Manageable | 3–4x Elevated | &gt;4x High | &gt;5x Distressed. Higher leverage is normal for utilities, REITs, and telecoms; riskier for cyclicals and tech</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375623"/>
                <w:sz w:val="18"/>
                <w:szCs w:val="18"/>
                <w:rFonts w:ascii="Arial" w:cs="Arial" w:eastAsia="Arial" w:hAnsi="Arial"/>
              </w:rPr>
              <w:t xml:space="preserve">Strong (Net Cash)</w:t>
            </w:r>
          </w:p>
        </w:tc>
      </w:tr>
      <w:tr>
        <w:tc>
          <w:tcPr>
            <w:tcW w:type="dxa" w:w="25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Net Debt / FCF</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-0.6x</w:t>
            </w:r>
          </w:p>
        </w:tc>
        <w:tc>
          <w:tcPr>
            <w:tcW w:type="dxa" w:w="39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0–3x Strong | 3–5x Manageable | 5–8x Stretched | &gt;8x High risk. Answers: how many years of current FCF generation to fully repay net debt</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Net Cash</w:t>
            </w:r>
          </w:p>
        </w:tc>
      </w:tr>
      <w:tr>
        <w:tc>
          <w:tcPr>
            <w:tcW w:type="dxa" w:w="25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Interest Coverage (EBIT ÷ Int. Exp. TTM)</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106.0x</w:t>
            </w:r>
          </w:p>
        </w:tc>
        <w:tc>
          <w:tcPr>
            <w:tcW w:type="dxa" w:w="39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&gt;8x Strong | 4–8x Comfortable | 2–4x Watch | &lt;2x Risky. Answers: can the company comfortably pay its interest from operating profit?</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375623"/>
                <w:sz w:val="18"/>
                <w:szCs w:val="18"/>
                <w:rFonts w:ascii="Arial" w:cs="Arial" w:eastAsia="Arial" w:hAnsi="Arial"/>
              </w:rPr>
              <w:t xml:space="preserve">Strong (&gt;8x)</w:t>
            </w:r>
          </w:p>
        </w:tc>
      </w:tr>
      <w:tr>
        <w:tc>
          <w:tcPr>
            <w:tcW w:type="dxa" w:w="25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Equity / Total Assets</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70.6%</w:t>
            </w:r>
          </w:p>
        </w:tc>
        <w:tc>
          <w:tcPr>
            <w:tcW w:type="dxa" w:w="39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&gt;50% Strong | 30–50% Normal | 15–30% Leveraged | &lt;15% Thin | Negative = flag. Less meaningful for banks and companies with large buyback programs</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375623"/>
                <w:sz w:val="18"/>
                <w:szCs w:val="18"/>
                <w:rFonts w:ascii="Arial" w:cs="Arial" w:eastAsia="Arial" w:hAnsi="Arial"/>
              </w:rPr>
              <w:t xml:space="preserve">Strong (&gt;50%)</w:t>
            </w:r>
          </w:p>
        </w:tc>
      </w:tr>
      <w:tr>
        <w:tc>
          <w:tcPr>
            <w:tcW w:type="dxa" w:w="25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Capital Intensity (CAPEX / Revenue TTM)</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27.6%</w:t>
            </w:r>
          </w:p>
        </w:tc>
        <w:tc>
          <w:tcPr>
            <w:tcW w:type="dxa" w:w="39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&lt;3% Light | 3–7% Moderate | 7–15% Intensive | &gt;15% Very Heavy. Benchmarks are sector-dependent: semis/utilities/telecoms are typically heavy at 15–40%; software/services are light at &lt;5%. Current: 27.6%</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C00000"/>
                <w:sz w:val="18"/>
                <w:szCs w:val="18"/>
                <w:rFonts w:ascii="Arial" w:cs="Arial" w:eastAsia="Arial" w:hAnsi="Arial"/>
              </w:rPr>
              <w:t xml:space="preserve">Weak (Very Heavy)</w:t>
            </w:r>
          </w:p>
        </w:tc>
      </w:tr>
      <w:tr>
        <w:tc>
          <w:tcPr>
            <w:tcW w:type="dxa" w:w="25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Credit Rating (S&amp;P / Moody's)</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[Upgrade to FMP Ultimate]</w:t>
            </w:r>
          </w:p>
        </w:tc>
        <w:tc>
          <w:tcPr>
            <w:tcW w:type="dxa" w:w="39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AAA–A Strong IG | BBB Lower IG | BB Speculative | B and below High risk</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w:t>
            </w:r>
          </w:p>
        </w:tc>
      </w:tr>
    </w:tbl>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FF9E6" w:val="clear"/>
            <w:tcMar>
              <w:top w:type="dxa" w:w="120"/>
              <w:left w:type="dxa" w:w="160"/>
              <w:bottom w:type="dxa" w:w="120"/>
              <w:right w:type="dxa" w:w="160"/>
            </w:tcMar>
          </w:tcPr>
          <w:p>
            <w:pPr>
              <w:spacing w:before="0" w:after="0"/>
              <w:jc w:val="left"/>
            </w:pPr>
            <w:r>
              <w:rPr>
                <w:b w:val="false"/>
                <w:bCs w:val="false"/>
                <w:color w:val="000000"/>
                <w:sz w:val="19"/>
                <w:szCs w:val="19"/>
                <w:rFonts w:ascii="Arial" w:cs="Arial" w:eastAsia="Arial" w:hAnsi="Arial"/>
              </w:rPr>
              <w:t xml:space="preserve">Micron's balance sheet is in excellent condition, with $25B in cash against only $9.2B in total debt, generating net cash of $15.79B — a significant financial buffer. The equity ratio of 70.6% reflects conservative leverage and strong retained earnings recovery. This financial resilience provides substantial capacity to fund heavy semiconductor capex requirements while weathering any future memory cycle downturn without distress risk.</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7 — SHAREHOLDERS &amp; CAPITAL ACTIONS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EFF3FF" w:val="clear"/>
            <w:tcMar>
              <w:top w:type="dxa" w:w="120"/>
              <w:left w:type="dxa" w:w="160"/>
              <w:bottom w:type="dxa" w:w="120"/>
              <w:right w:type="dxa" w:w="160"/>
            </w:tcMar>
          </w:tcPr>
          <w:p>
            <w:pPr>
              <w:spacing w:before="0" w:after="0"/>
              <w:jc w:val="left"/>
            </w:pPr>
            <w:r>
              <w:rPr>
                <w:b w:val="false"/>
                <w:bCs w:val="false"/>
                <w:color w:val="000000"/>
                <w:sz w:val="19"/>
                <w:szCs w:val="19"/>
                <w:rFonts w:ascii="Arial" w:cs="Arial" w:eastAsia="Arial" w:hAnsi="Arial"/>
              </w:rPr>
              <w:t xml:space="preserve">Owner-Operated Status: [Upgrade to FMP Ultimate for insider ownership data]</w:t>
            </w:r>
          </w:p>
        </w:tc>
      </w:tr>
    </w:tbl>
    <w:p>
      <w:pPr>
        <w:spacing w:before="0" w:after="60"/>
        <w:jc w:val="left"/>
      </w:pPr>
      <w:r>
        <w:rPr>
          <w:b w:val="false"/>
          <w:bCs w:val="false"/>
          <w:color w:val="000000"/>
          <w:sz w:val="20"/>
          <w:szCs w:val="20"/>
          <w:rFonts w:ascii="Arial" w:cs="Arial" w:eastAsia="Arial" w:hAnsi="Arial"/>
        </w:rPr>
      </w:r>
    </w:p>
    <w:p>
      <w:pPr>
        <w:spacing w:before="80" w:after="60"/>
        <w:jc w:val="left"/>
      </w:pPr>
      <w:r>
        <w:rPr>
          <w:b/>
          <w:bCs/>
          <w:color w:val="1F3864"/>
          <w:sz w:val="20"/>
          <w:szCs w:val="20"/>
          <w:rFonts w:ascii="Arial" w:cs="Arial" w:eastAsia="Arial" w:hAnsi="Arial"/>
        </w:rPr>
        <w:t xml:space="preserve">Insider Ownership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Total Insider Ownership (Latest)</w:t>
            </w:r>
          </w:p>
        </w:tc>
        <w:tc>
          <w:tcPr>
            <w:tcW w:type="dxa" w:w="468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[Upgrade to FMP Ultimate]</w:t>
            </w:r>
          </w:p>
        </w:tc>
      </w:tr>
      <w:tr>
        <w:tc>
          <w:tcPr>
            <w:tcW w:type="dxa" w:w="468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Top-5 Insiders by Shares Owned</w:t>
            </w:r>
          </w:p>
        </w:tc>
        <w:tc>
          <w:tcPr>
            <w:tcW w:type="dxa" w:w="468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[Upgrade to FMP Ultimate for detailed insider breakdown]</w:t>
            </w:r>
          </w:p>
        </w:tc>
      </w:tr>
    </w:tbl>
    <w:p>
      <w:pPr>
        <w:spacing w:before="0" w:after="60"/>
        <w:jc w:val="left"/>
      </w:pPr>
      <w:r>
        <w:rPr>
          <w:b w:val="false"/>
          <w:bCs w:val="false"/>
          <w:color w:val="000000"/>
          <w:sz w:val="20"/>
          <w:szCs w:val="20"/>
          <w:rFonts w:ascii="Arial" w:cs="Arial" w:eastAsia="Arial" w:hAnsi="Arial"/>
        </w:rPr>
      </w:r>
    </w:p>
    <w:p>
      <w:pPr>
        <w:spacing w:before="80" w:after="60"/>
        <w:jc w:val="left"/>
      </w:pPr>
      <w:r>
        <w:rPr>
          <w:b/>
          <w:bCs/>
          <w:color w:val="1F3864"/>
          <w:sz w:val="20"/>
          <w:szCs w:val="20"/>
          <w:rFonts w:ascii="Arial" w:cs="Arial" w:eastAsia="Arial" w:hAnsi="Arial"/>
        </w:rPr>
        <w:t xml:space="preserve">Institutional Ownership — Top 5 Holders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Top-5 Institutional Holders</w:t>
            </w:r>
          </w:p>
        </w:tc>
        <w:tc>
          <w:tcPr>
            <w:tcW w:type="dxa" w:w="468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[Upgrade to FMP Ultimate for 13F institutional data]</w:t>
            </w:r>
          </w:p>
        </w:tc>
      </w:tr>
    </w:tbl>
    <w:p>
      <w:pPr>
        <w:spacing w:before="0" w:after="60"/>
        <w:jc w:val="left"/>
      </w:pPr>
      <w:r>
        <w:rPr>
          <w:b w:val="false"/>
          <w:bCs w:val="false"/>
          <w:color w:val="000000"/>
          <w:sz w:val="20"/>
          <w:szCs w:val="20"/>
          <w:rFonts w:ascii="Arial" w:cs="Arial" w:eastAsia="Arial" w:hAnsi="Arial"/>
        </w:rPr>
      </w:r>
    </w:p>
    <w:p>
      <w:pPr>
        <w:spacing w:before="80" w:after="60"/>
        <w:jc w:val="left"/>
      </w:pPr>
      <w:r>
        <w:rPr>
          <w:b/>
          <w:bCs/>
          <w:color w:val="1F3864"/>
          <w:sz w:val="20"/>
          <w:szCs w:val="20"/>
          <w:rFonts w:ascii="Arial" w:cs="Arial" w:eastAsia="Arial" w:hAnsi="Arial"/>
        </w:rPr>
        <w:t xml:space="preserve">Capital Actions — Annual (3 Years) + TTM</w:t>
      </w:r>
    </w:p>
    <w:p>
      <w:pPr>
        <w:spacing w:before="40" w:after="40"/>
        <w:jc w:val="left"/>
      </w:pPr>
      <w:r>
        <w:rPr>
          <w:b w:val="false"/>
          <w:bCs w:val="false"/>
          <w:i/>
          <w:iCs/>
          <w:color w:val="595959"/>
          <w:sz w:val="16"/>
          <w:szCs w:val="16"/>
          <w:rFonts w:ascii="Arial" w:cs="Arial" w:eastAsia="Arial" w:hAnsi="Arial"/>
        </w:rPr>
        <w:t xml:space="preserve">ℹ  All figures in USD millions except share counts (millions of shares) and %. Buyback/issuance data from annual cash flow statements. TTM = sum of last 4 quarters.</w:t>
      </w:r>
    </w:p>
    <w:tbl>
      <w:tblPr>
        <w:tblW w:type="dxa" w:w="7200"/>
        <w:tblBorders>
          <w:top w:val="single" w:color="auto" w:sz="4"/>
          <w:left w:val="single" w:color="auto" w:sz="4"/>
          <w:bottom w:val="single" w:color="auto" w:sz="4"/>
          <w:right w:val="single" w:color="auto" w:sz="4"/>
          <w:insideH w:val="single" w:color="auto" w:sz="4"/>
          <w:insideV w:val="single" w:color="auto" w:sz="4"/>
        </w:tblBorders>
      </w:tblPr>
      <w:tblGrid>
        <w:gridCol w:w="2400"/>
        <w:gridCol w:w="1200"/>
        <w:gridCol w:w="1200"/>
        <w:gridCol w:w="1200"/>
        <w:gridCol w:w="1200"/>
      </w:tblGrid>
      <w:tr>
        <w:tc>
          <w:tcPr>
            <w:tcW w:type="dxa" w:w="24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Metric</w:t>
            </w:r>
          </w:p>
        </w:tc>
        <w:tc>
          <w:tcPr>
            <w:tcW w:type="dxa" w:w="1200"/>
            <w:gridSpan w:val="1"/>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2023</w:t>
            </w:r>
          </w:p>
        </w:tc>
        <w:tc>
          <w:tcPr>
            <w:tcW w:type="dxa" w:w="1200"/>
            <w:gridSpan w:val="1"/>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2024</w:t>
            </w:r>
          </w:p>
        </w:tc>
        <w:tc>
          <w:tcPr>
            <w:tcW w:type="dxa" w:w="1200"/>
            <w:gridSpan w:val="1"/>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2025</w:t>
            </w:r>
          </w:p>
        </w:tc>
        <w:tc>
          <w:tcPr>
            <w:tcW w:type="dxa" w:w="1200"/>
            <w:gridSpan w:val="1"/>
            <w:tcBorders>
              <w:top w:val="single" w:color="BFBFBF" w:sz="1"/>
              <w:left w:val="single" w:color="BFBFBF" w:sz="1"/>
              <w:bottom w:val="single" w:color="BFBFBF" w:sz="1"/>
              <w:right w:val="single" w:color="BFBFBF" w:sz="1"/>
            </w:tcBorders>
            <w:shd w:fill="2B4A6B"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2026</w:t>
            </w:r>
          </w:p>
        </w:tc>
        <w:tc>
          <w:tcPr>
            <w:tcW w:type="dxa" w:w="1200"/>
            <w:gridSpan w:val="1"/>
            <w:tcBorders>
              <w:top w:val="single" w:color="BFBFBF" w:sz="1"/>
              <w:left w:val="single" w:color="BFBFBF" w:sz="1"/>
              <w:bottom w:val="single" w:color="BFBFBF" w:sz="1"/>
              <w:right w:val="single" w:color="BFBFBF" w:sz="1"/>
            </w:tcBorders>
            <w:shd w:fill="2B6CB0"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TTM</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Buybacks ($M)</w:t>
            </w:r>
          </w:p>
        </w:tc>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425.0M</w:t>
            </w:r>
          </w:p>
        </w:tc>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300.0M</w:t>
            </w:r>
          </w:p>
        </w:tc>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0M</w:t>
            </w:r>
          </w:p>
        </w:tc>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1,777M</w:t>
            </w:r>
          </w:p>
        </w:tc>
        <w:tc>
          <w:tcPr>
            <w:tcW w:type="dxa" w:w="120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6"/>
                <w:szCs w:val="16"/>
                <w:rFonts w:ascii="Arial" w:cs="Arial" w:eastAsia="Arial" w:hAnsi="Arial"/>
              </w:rPr>
              <w:t xml:space="preserve">1,015M</w:t>
            </w:r>
          </w:p>
        </w:tc>
      </w:tr>
      <w:tr>
        <w:tc>
          <w:tcPr>
            <w:tcW w:type="dxa" w:w="2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Share Issuance ($M)</w:t>
            </w:r>
          </w:p>
        </w:tc>
        <w:tc>
          <w:tcPr>
            <w:tcW w:type="dxa" w:w="1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0M</w:t>
            </w:r>
          </w:p>
        </w:tc>
        <w:tc>
          <w:tcPr>
            <w:tcW w:type="dxa" w:w="1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0M</w:t>
            </w:r>
          </w:p>
        </w:tc>
        <w:tc>
          <w:tcPr>
            <w:tcW w:type="dxa" w:w="1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0M</w:t>
            </w:r>
          </w:p>
        </w:tc>
        <w:tc>
          <w:tcPr>
            <w:tcW w:type="dxa" w:w="1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0M</w:t>
            </w:r>
          </w:p>
        </w:tc>
        <w:tc>
          <w:tcPr>
            <w:tcW w:type="dxa" w:w="120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6"/>
                <w:szCs w:val="16"/>
                <w:rFonts w:ascii="Arial" w:cs="Arial" w:eastAsia="Arial" w:hAnsi="Arial"/>
              </w:rPr>
              <w:t xml:space="preserve">N/A</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Shares Outstanding (M)</w:t>
            </w:r>
          </w:p>
        </w:tc>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1093.0</w:t>
            </w:r>
          </w:p>
        </w:tc>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1105.0</w:t>
            </w:r>
          </w:p>
        </w:tc>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1116.0</w:t>
            </w:r>
          </w:p>
        </w:tc>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1127.0</w:t>
            </w:r>
          </w:p>
        </w:tc>
        <w:tc>
          <w:tcPr>
            <w:tcW w:type="dxa" w:w="120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000000"/>
                <w:sz w:val="16"/>
                <w:szCs w:val="16"/>
                <w:rFonts w:ascii="Arial" w:cs="Arial" w:eastAsia="Arial" w:hAnsi="Arial"/>
              </w:rPr>
              <w:t xml:space="preserve">1131.0</w:t>
            </w:r>
          </w:p>
        </w:tc>
      </w:tr>
      <w:tr>
        <w:tc>
          <w:tcPr>
            <w:tcW w:type="dxa" w:w="24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595959"/>
                <w:sz w:val="16"/>
                <w:szCs w:val="16"/>
                <w:rFonts w:ascii="Arial" w:cs="Arial" w:eastAsia="Arial" w:hAnsi="Arial"/>
              </w:rPr>
              <w:t xml:space="preserve">Net Share Change YoY %</w:t>
            </w:r>
          </w:p>
        </w:tc>
        <w:tc>
          <w:tcPr>
            <w:tcW w:type="dxa" w:w="12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6"/>
                <w:szCs w:val="16"/>
                <w:rFonts w:ascii="Arial" w:cs="Arial" w:eastAsia="Arial" w:hAnsi="Arial"/>
              </w:rPr>
              <w:t xml:space="preserve">—</w:t>
            </w:r>
          </w:p>
        </w:tc>
        <w:tc>
          <w:tcPr>
            <w:tcW w:type="dxa" w:w="12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C00000"/>
                <w:sz w:val="16"/>
                <w:szCs w:val="16"/>
                <w:rFonts w:ascii="Arial" w:cs="Arial" w:eastAsia="Arial" w:hAnsi="Arial"/>
              </w:rPr>
              <w:t xml:space="preserve">1.1%</w:t>
            </w:r>
          </w:p>
        </w:tc>
        <w:tc>
          <w:tcPr>
            <w:tcW w:type="dxa" w:w="12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C00000"/>
                <w:sz w:val="16"/>
                <w:szCs w:val="16"/>
                <w:rFonts w:ascii="Arial" w:cs="Arial" w:eastAsia="Arial" w:hAnsi="Arial"/>
              </w:rPr>
              <w:t xml:space="preserve">1.0%</w:t>
            </w:r>
          </w:p>
        </w:tc>
        <w:tc>
          <w:tcPr>
            <w:tcW w:type="dxa" w:w="1200"/>
            <w:gridSpan w:val="1"/>
            <w:tcBorders>
              <w:top w:val="single" w:color="BFBFBF" w:sz="1"/>
              <w:left w:val="single" w:color="BFBFBF" w:sz="1"/>
              <w:bottom w:val="single" w:color="BFBFBF" w:sz="1"/>
              <w:right w:val="single" w:color="BFBFBF" w:sz="1"/>
            </w:tcBorders>
            <w:shd w:fill="FFF2CC" w:val="clear"/>
            <w:tcMar>
              <w:top w:type="dxa" w:w="60"/>
              <w:left w:type="dxa" w:w="100"/>
              <w:bottom w:type="dxa" w:w="60"/>
              <w:right w:type="dxa" w:w="100"/>
            </w:tcMar>
            <w:vAlign w:val="center"/>
          </w:tcPr>
          <w:p>
            <w:pPr>
              <w:spacing w:before="60" w:after="60"/>
              <w:jc w:val="left"/>
            </w:pPr>
            <w:r>
              <w:rPr>
                <w:b/>
                <w:bCs/>
                <w:color w:val="C00000"/>
                <w:sz w:val="16"/>
                <w:szCs w:val="16"/>
                <w:rFonts w:ascii="Arial" w:cs="Arial" w:eastAsia="Arial" w:hAnsi="Arial"/>
              </w:rPr>
              <w:t xml:space="preserve">0.5%</w:t>
            </w:r>
          </w:p>
        </w:tc>
      </w:tr>
    </w:tbl>
    <w:p>
      <w:pPr>
        <w:spacing w:before="40" w:after="40"/>
        <w:jc w:val="left"/>
      </w:pPr>
      <w:r>
        <w:rPr>
          <w:b w:val="false"/>
          <w:bCs w:val="false"/>
          <w:i/>
          <w:iCs/>
          <w:color w:val="595959"/>
          <w:sz w:val="16"/>
          <w:szCs w:val="16"/>
          <w:rFonts w:ascii="Arial" w:cs="Arial" w:eastAsia="Arial" w:hAnsi="Arial"/>
        </w:rPr>
        <w:t xml:space="preserve">ℹ  Net Share Change: Negative % = shares retired (shareholder-friendly). Positive % = dilution. TTM Net Share Change vs 12 months ago.</w:t>
      </w:r>
    </w:p>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8 — INSIDER &amp; INSTITUTIONAL ACTIVITY</w:t>
      </w:r>
    </w:p>
    <w:p>
      <w:pPr>
        <w:spacing w:before="40" w:after="40"/>
        <w:jc w:val="left"/>
      </w:pPr>
      <w:r>
        <w:rPr>
          <w:b w:val="false"/>
          <w:bCs w:val="false"/>
          <w:i/>
          <w:iCs/>
          <w:color w:val="595959"/>
          <w:sz w:val="16"/>
          <w:szCs w:val="16"/>
          <w:rFonts w:ascii="Arial" w:cs="Arial" w:eastAsia="Arial" w:hAnsi="Arial"/>
        </w:rPr>
        <w:t xml:space="preserve">ℹ  Only Open Market Buy/Sell transactions shown. Compensation awards and option exercises excluded.</w:t>
      </w:r>
    </w:p>
    <w:tbl>
      <w:tblPr>
        <w:tblW w:type="dxa" w:w="8560"/>
        <w:tblBorders>
          <w:top w:val="single" w:color="auto" w:sz="4"/>
          <w:left w:val="single" w:color="auto" w:sz="4"/>
          <w:bottom w:val="single" w:color="auto" w:sz="4"/>
          <w:right w:val="single" w:color="auto" w:sz="4"/>
          <w:insideH w:val="single" w:color="auto" w:sz="4"/>
          <w:insideV w:val="single" w:color="auto" w:sz="4"/>
        </w:tblBorders>
      </w:tblPr>
      <w:tblGrid>
        <w:gridCol w:w="2640"/>
        <w:gridCol w:w="1440"/>
        <w:gridCol w:w="1200"/>
        <w:gridCol w:w="1000"/>
        <w:gridCol w:w="1080"/>
        <w:gridCol w:w="1200"/>
      </w:tblGrid>
      <w:tr>
        <w:tc>
          <w:tcPr>
            <w:tcW w:type="dxa" w:w="26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6"/>
                <w:szCs w:val="16"/>
                <w:rFonts w:ascii="Arial" w:cs="Arial" w:eastAsia="Arial" w:hAnsi="Arial"/>
              </w:rPr>
              <w:t xml:space="preserve">Name &amp; Title</w:t>
            </w:r>
          </w:p>
        </w:tc>
        <w:tc>
          <w:tcPr>
            <w:tcW w:type="dxa" w:w="14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6"/>
                <w:szCs w:val="16"/>
                <w:rFonts w:ascii="Arial" w:cs="Arial" w:eastAsia="Arial" w:hAnsi="Arial"/>
              </w:rPr>
              <w:t xml:space="preserve">Action</w:t>
            </w:r>
          </w:p>
        </w:tc>
        <w:tc>
          <w:tcPr>
            <w:tcW w:type="dxa" w:w="12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6"/>
                <w:szCs w:val="16"/>
                <w:rFonts w:ascii="Arial" w:cs="Arial" w:eastAsia="Arial" w:hAnsi="Arial"/>
              </w:rPr>
              <w:t xml:space="preserve">Amount ($)</w:t>
            </w:r>
          </w:p>
        </w:tc>
        <w:tc>
          <w:tcPr>
            <w:tcW w:type="dxa" w:w="10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6"/>
                <w:szCs w:val="16"/>
                <w:rFonts w:ascii="Arial" w:cs="Arial" w:eastAsia="Arial" w:hAnsi="Arial"/>
              </w:rPr>
              <w:t xml:space="preserve">Shares</w:t>
            </w:r>
          </w:p>
        </w:tc>
        <w:tc>
          <w:tcPr>
            <w:tcW w:type="dxa" w:w="108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6"/>
                <w:szCs w:val="16"/>
                <w:rFonts w:ascii="Arial" w:cs="Arial" w:eastAsia="Arial" w:hAnsi="Arial"/>
              </w:rPr>
              <w:t xml:space="preserve">Total Owned</w:t>
            </w:r>
          </w:p>
        </w:tc>
        <w:tc>
          <w:tcPr>
            <w:tcW w:type="dxa" w:w="12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6"/>
                <w:szCs w:val="16"/>
                <w:rFonts w:ascii="Arial" w:cs="Arial" w:eastAsia="Arial" w:hAnsi="Arial"/>
              </w:rPr>
              <w:t xml:space="preserve">Date</w:t>
            </w:r>
          </w:p>
        </w:tc>
      </w:tr>
      <w:tr>
        <w:tc>
          <w:tcPr>
            <w:tcW w:type="dxa" w:w="9360"/>
            <w:gridSpan w:val="6"/>
            <w:tcBorders>
              <w:top w:val="single" w:color="BFBFBF" w:sz="1"/>
              <w:left w:val="single" w:color="BFBFBF" w:sz="1"/>
              <w:bottom w:val="single" w:color="BFBFBF" w:sz="1"/>
              <w:right w:val="single" w:color="BFBFBF" w:sz="1"/>
            </w:tcBorders>
          </w:tcPr>
          <w:p>
            <w:pPr>
              <w:spacing w:before="80" w:after="80"/>
              <w:jc w:val="left"/>
            </w:pPr>
            <w:r>
              <w:rPr>
                <w:b w:val="false"/>
                <w:bCs w:val="false"/>
                <w:color w:val="595959"/>
                <w:sz w:val="20"/>
                <w:szCs w:val="20"/>
                <w:rFonts w:ascii="Arial" w:cs="Arial" w:eastAsia="Arial" w:hAnsi="Arial"/>
              </w:rPr>
              <w:t xml:space="preserve">No recent open-market transactions.</w:t>
            </w:r>
          </w:p>
        </w:tc>
      </w:tr>
    </w:tbl>
    <w:p>
      <w:pPr>
        <w:spacing w:before="80" w:after="60"/>
        <w:jc w:val="left"/>
      </w:pPr>
      <w:r>
        <w:rPr>
          <w:b/>
          <w:bCs/>
          <w:color w:val="000000"/>
          <w:sz w:val="18"/>
          <w:szCs w:val="18"/>
          <w:rFonts w:ascii="Arial" w:cs="Arial" w:eastAsia="Arial" w:hAnsi="Arial"/>
        </w:rPr>
        <w:t xml:space="preserve">Open Market Buys: </w:t>
      </w:r>
      <w:r>
        <w:rPr>
          <w:b/>
          <w:bCs/>
          <w:color w:val="375623"/>
          <w:sz w:val="18"/>
          <w:szCs w:val="18"/>
          <w:rFonts w:ascii="Arial" w:cs="Arial" w:eastAsia="Arial" w:hAnsi="Arial"/>
        </w:rPr>
        <w:t xml:space="preserve">0</w:t>
      </w:r>
      <w:r>
        <w:rPr>
          <w:b/>
          <w:bCs/>
          <w:color w:val="000000"/>
          <w:sz w:val="18"/>
          <w:szCs w:val="18"/>
          <w:rFonts w:ascii="Arial" w:cs="Arial" w:eastAsia="Arial" w:hAnsi="Arial"/>
        </w:rPr>
        <w:t xml:space="preserve">  |  Open Market Sells: </w:t>
      </w:r>
      <w:r>
        <w:rPr>
          <w:b/>
          <w:bCs/>
          <w:color w:val="C00000"/>
          <w:sz w:val="18"/>
          <w:szCs w:val="18"/>
          <w:rFonts w:ascii="Arial" w:cs="Arial" w:eastAsia="Arial" w:hAnsi="Arial"/>
        </w:rPr>
        <w:t xml:space="preserve">0</w:t>
      </w:r>
      <w:r>
        <w:rPr>
          <w:b/>
          <w:bCs/>
          <w:color w:val="000000"/>
          <w:sz w:val="18"/>
          <w:szCs w:val="18"/>
          <w:rFonts w:ascii="Arial" w:cs="Arial" w:eastAsia="Arial" w:hAnsi="Arial"/>
        </w:rPr>
        <w:t xml:space="preserve">  |  Insider Research Signal (AI): </w:t>
      </w:r>
      <w:r>
        <w:rPr>
          <w:b/>
          <w:bCs/>
          <w:color w:val="E8801A"/>
          <w:sz w:val="18"/>
          <w:szCs w:val="18"/>
          <w:rFonts w:ascii="Arial" w:cs="Arial" w:eastAsia="Arial" w:hAnsi="Arial"/>
        </w:rPr>
        <w:t xml:space="preserve">Neutral</w:t>
      </w:r>
    </w:p>
    <w:p>
      <w:pPr>
        <w:spacing w:before="40" w:after="40"/>
        <w:jc w:val="left"/>
      </w:pPr>
      <w:r>
        <w:rPr>
          <w:b w:val="false"/>
          <w:bCs w:val="false"/>
          <w:i/>
          <w:iCs/>
          <w:color w:val="595959"/>
          <w:sz w:val="16"/>
          <w:szCs w:val="16"/>
          <w:rFonts w:ascii="Arial" w:cs="Arial" w:eastAsia="Arial" w:hAnsi="Arial"/>
        </w:rPr>
        <w:t xml:space="preserve">ℹ  Insider purchases are generally considered a stronger signal than sales. Insiders sell for many reasons (tax, diversification, personal needs) but typically buy only when they expect the stock to perform well. Flag if CEO/CFO sells &gt;10% of holdings in a short window.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1560"/>
        <w:gridCol w:w="1560"/>
      </w:tblGrid>
      <w:tr>
        <w:tc>
          <w:tcPr>
            <w:tcW w:type="dxa" w:w="312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Institutional Ownership Change</w:t>
            </w:r>
          </w:p>
        </w:tc>
        <w:tc>
          <w:tcPr>
            <w:tcW w:type="dxa" w:w="312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[Upgrade to FMP Ultimate for 13F data]</w:t>
            </w:r>
          </w:p>
        </w:tc>
        <w:tc>
          <w:tcPr>
            <w:tcW w:type="dxa" w:w="156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Short Interest</w:t>
            </w:r>
          </w:p>
        </w:tc>
        <w:tc>
          <w:tcPr>
            <w:tcW w:type="dxa" w:w="15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[Upgrade to FMP Ultimate]</w:t>
            </w:r>
          </w:p>
        </w:tc>
      </w:tr>
      <w:tr>
        <w:tc>
          <w:tcPr>
            <w:tcW w:type="dxa" w:w="312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Short Squeeze Profile</w:t>
            </w:r>
          </w:p>
        </w:tc>
        <w:tc>
          <w:tcPr>
            <w:tcW w:type="dxa" w:w="312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Low</w:t>
            </w:r>
          </w:p>
        </w:tc>
        <w:tc>
          <w:tcPr>
            <w:tcW w:type="dxa" w:w="15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r>
          </w:p>
        </w:tc>
        <w:tc>
          <w:tcPr>
            <w:tcW w:type="dxa" w:w="156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r>
          </w:p>
        </w:tc>
      </w:tr>
    </w:tbl>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FF9E6" w:val="clear"/>
            <w:tcMar>
              <w:top w:type="dxa" w:w="120"/>
              <w:left w:type="dxa" w:w="160"/>
              <w:bottom w:type="dxa" w:w="120"/>
              <w:right w:type="dxa" w:w="160"/>
            </w:tcMar>
          </w:tcPr>
          <w:p>
            <w:pPr>
              <w:spacing w:before="0" w:after="0"/>
              <w:jc w:val="left"/>
            </w:pPr>
            <w:r>
              <w:rPr>
                <w:b w:val="false"/>
                <w:bCs w:val="false"/>
                <w:color w:val="000000"/>
                <w:sz w:val="19"/>
                <w:szCs w:val="19"/>
                <w:rFonts w:ascii="Arial" w:cs="Arial" w:eastAsia="Arial" w:hAnsi="Arial"/>
              </w:rPr>
              <w:t xml:space="preserve">No open-market buy or sell activity in the reported period. Capital actions: $1,015M in buybacks over last 4 quarters — shareholder-friendly capital allocation.</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9 — VALUATION  (TTM = Trailing Twelve Months)</w:t>
      </w:r>
    </w:p>
    <w:p>
      <w:pPr>
        <w:spacing w:before="40" w:after="40"/>
        <w:jc w:val="left"/>
      </w:pPr>
      <w:r>
        <w:rPr>
          <w:b w:val="false"/>
          <w:bCs w:val="false"/>
          <w:i/>
          <w:iCs/>
          <w:color w:val="595959"/>
          <w:sz w:val="16"/>
          <w:szCs w:val="16"/>
          <w:rFonts w:ascii="Arial" w:cs="Arial" w:eastAsia="Arial" w:hAnsi="Arial"/>
        </w:rPr>
        <w:t xml:space="preserve">ℹ  All figures in USD millions except EPS (USD), ratios, and %. A — History: Annual 3 years + TTM. B — Recent Trend: Last 4 quarters using TTM denominators. Period-end price used for all ratio calculations.</w:t>
      </w:r>
    </w:p>
    <w:p>
      <w:pPr>
        <w:spacing w:before="80" w:after="60"/>
        <w:jc w:val="left"/>
      </w:pPr>
      <w:r>
        <w:rPr>
          <w:b/>
          <w:bCs/>
          <w:color w:val="1F3864"/>
          <w:sz w:val="20"/>
          <w:szCs w:val="20"/>
          <w:rFonts w:ascii="Arial" w:cs="Arial" w:eastAsia="Arial" w:hAnsi="Arial"/>
        </w:rPr>
        <w:t xml:space="preserve">A — Valuation History (Annual + TTM)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4120"/>
        <w:gridCol w:w="1440"/>
      </w:tblGrid>
      <w:tr>
        <w:tc>
          <w:tcPr>
            <w:tcW w:type="dxa" w:w="24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Metric</w:t>
            </w:r>
          </w:p>
        </w:tc>
        <w:tc>
          <w:tcPr>
            <w:tcW w:type="dxa" w:w="14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Latest / TTM</w:t>
            </w:r>
          </w:p>
        </w:tc>
        <w:tc>
          <w:tcPr>
            <w:tcW w:type="dxa" w:w="412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Context / Benchmark</w:t>
            </w:r>
          </w:p>
        </w:tc>
        <w:tc>
          <w:tcPr>
            <w:tcW w:type="dxa" w:w="14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Reading</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Enterprise Value (EV, $M)</w:t>
            </w:r>
          </w:p>
        </w:tc>
        <w:tc>
          <w:tcPr>
            <w:tcW w:type="dxa" w:w="1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961,152M</w:t>
            </w:r>
          </w:p>
        </w:tc>
        <w:tc>
          <w:tcPr>
            <w:tcW w:type="dxa" w:w="41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$994.3B mktCap + $5.2B debt − $38.4B cash = $961.2B  |  EV = Market Cap + Total Debt − Cash</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w:t>
            </w:r>
          </w:p>
        </w:tc>
      </w:tr>
      <w:tr>
        <w:tc>
          <w:tcPr>
            <w:tcW w:type="dxa" w:w="2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Market Cap ($M)</w:t>
            </w:r>
          </w:p>
        </w:tc>
        <w:tc>
          <w:tcPr>
            <w:tcW w:type="dxa" w:w="1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994,337M</w:t>
            </w:r>
          </w:p>
        </w:tc>
        <w:tc>
          <w:tcPr>
            <w:tcW w:type="dxa" w:w="41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Shares outstanding × current share price — total equity value as priced by the market</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Net Debt ($M)</w:t>
            </w:r>
          </w:p>
        </w:tc>
        <w:tc>
          <w:tcPr>
            <w:tcW w:type="dxa" w:w="1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-33,185M</w:t>
            </w:r>
          </w:p>
        </w:tc>
        <w:tc>
          <w:tcPr>
            <w:tcW w:type="dxa" w:w="41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Total debt minus cash &amp; short-term investments. Negative = net cash (company holds more cash than debt)</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375623"/>
                <w:sz w:val="18"/>
                <w:szCs w:val="18"/>
                <w:rFonts w:ascii="Arial" w:cs="Arial" w:eastAsia="Arial" w:hAnsi="Arial"/>
              </w:rPr>
              <w:t xml:space="preserve">Positive (Net Cash)</w:t>
            </w:r>
          </w:p>
        </w:tc>
      </w:tr>
      <w:tr>
        <w:tc>
          <w:tcPr>
            <w:tcW w:type="dxa" w:w="2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Diluted Shares (M)</w:t>
            </w:r>
          </w:p>
        </w:tc>
        <w:tc>
          <w:tcPr>
            <w:tcW w:type="dxa" w:w="1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1131.0M</w:t>
            </w:r>
          </w:p>
        </w:tc>
        <w:tc>
          <w:tcPr>
            <w:tcW w:type="dxa" w:w="41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Includes all dilutive instruments (options, RSUs, warrants, convertibles). Rising count signals dilution; falling count signals buybacks</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Diluted EPS ($)</w:t>
            </w:r>
          </w:p>
        </w:tc>
        <w:tc>
          <w:tcPr>
            <w:tcW w:type="dxa" w:w="1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$75.31</w:t>
            </w:r>
          </w:p>
        </w:tc>
        <w:tc>
          <w:tcPr>
            <w:tcW w:type="dxa" w:w="41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Diluted EPS (TTM) includes impact of options, RSUs, warrants, and convertibles. Use to compare profitability across periods. Fallback to basic EPS if diluted data unavailable.</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w:t>
            </w:r>
          </w:p>
        </w:tc>
      </w:tr>
      <w:tr>
        <w:tc>
          <w:tcPr>
            <w:tcW w:type="dxa" w:w="2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P/E Diluted</w:t>
            </w:r>
          </w:p>
        </w:tc>
        <w:tc>
          <w:tcPr>
            <w:tcW w:type="dxa" w:w="1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11.7x</w:t>
            </w:r>
          </w:p>
        </w:tc>
        <w:tc>
          <w:tcPr>
            <w:tcW w:type="dxa" w:w="41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$878.84 ÷ $75.31 TTM EPS = 11.7x. Compare to sector peers and historical range — semiconductor P/E varies widely by cycle position.</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E8801A"/>
                <w:sz w:val="18"/>
                <w:szCs w:val="18"/>
                <w:rFonts w:ascii="Arial" w:cs="Arial" w:eastAsia="Arial" w:hAnsi="Arial"/>
              </w:rPr>
              <w:t xml:space="preserve">Reasonable (&lt;25x)</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EV / EBITDA</w:t>
            </w:r>
          </w:p>
        </w:tc>
        <w:tc>
          <w:tcPr>
            <w:tcW w:type="dxa" w:w="1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8.8x</w:t>
            </w:r>
          </w:p>
        </w:tc>
        <w:tc>
          <w:tcPr>
            <w:tcW w:type="dxa" w:w="41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EV $961.2B ÷ EBITDA TTM $109.41B = 8.8x  |  &lt;10x Favorable | 10–20x Neutral | &gt;20x Elevated</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375623"/>
                <w:sz w:val="18"/>
                <w:szCs w:val="18"/>
                <w:rFonts w:ascii="Arial" w:cs="Arial" w:eastAsia="Arial" w:hAnsi="Arial"/>
              </w:rPr>
              <w:t xml:space="preserve">Favorable</w:t>
            </w:r>
          </w:p>
        </w:tc>
      </w:tr>
      <w:tr>
        <w:tc>
          <w:tcPr>
            <w:tcW w:type="dxa" w:w="2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FCF / EV, %</w:t>
            </w:r>
          </w:p>
        </w:tc>
        <w:tc>
          <w:tcPr>
            <w:tcW w:type="dxa" w:w="1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5.5%</w:t>
            </w:r>
          </w:p>
        </w:tc>
        <w:tc>
          <w:tcPr>
            <w:tcW w:type="dxa" w:w="41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&gt;8% Favorable | 4–7% Neutral | &lt;2% Elevated | Negative = N/M. FCF yield on total enterprise value</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E8801A"/>
                <w:sz w:val="18"/>
                <w:szCs w:val="18"/>
                <w:rFonts w:ascii="Arial" w:cs="Arial" w:eastAsia="Arial" w:hAnsi="Arial"/>
              </w:rPr>
              <w:t xml:space="preserve">Neutral</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FCF per Share ($)</w:t>
            </w:r>
          </w:p>
        </w:tc>
        <w:tc>
          <w:tcPr>
            <w:tcW w:type="dxa" w:w="1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$46.78</w:t>
            </w:r>
          </w:p>
        </w:tc>
        <w:tc>
          <w:tcPr>
            <w:tcW w:type="dxa" w:w="41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$46.78 ÷ $878.84 price = 5.3% FCF yield per share  |  &gt;5% Favorable | 2–5% Neutral | &lt;2% Weak</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375623"/>
                <w:sz w:val="18"/>
                <w:szCs w:val="18"/>
                <w:rFonts w:ascii="Arial" w:cs="Arial" w:eastAsia="Arial" w:hAnsi="Arial"/>
              </w:rPr>
              <w:t xml:space="preserve">Favorable (&gt;5% yield)</w:t>
            </w:r>
          </w:p>
        </w:tc>
      </w:tr>
      <w:tr>
        <w:tc>
          <w:tcPr>
            <w:tcW w:type="dxa" w:w="2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ROE % (TTM)</w:t>
            </w:r>
          </w:p>
        </w:tc>
        <w:tc>
          <w:tcPr>
            <w:tcW w:type="dxa" w:w="14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61.4%</w:t>
            </w:r>
          </w:p>
        </w:tc>
        <w:tc>
          <w:tcPr>
            <w:tcW w:type="dxa" w:w="412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TTM Net Income 84,969M ÷ Avg Equity 138,378M = 61.4%. &gt;20% Strong (wealth compounder) | 10–20% Neutral | &lt;10% Weak | Negative = net loss year</w:t>
            </w:r>
          </w:p>
        </w:tc>
        <w:tc>
          <w:tcPr>
            <w:tcW w:type="dxa" w:w="144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bCs/>
                <w:color w:val="375623"/>
                <w:sz w:val="18"/>
                <w:szCs w:val="18"/>
                <w:rFonts w:ascii="Arial" w:cs="Arial" w:eastAsia="Arial" w:hAnsi="Arial"/>
              </w:rPr>
              <w:t xml:space="preserve">Strong (&gt;20%)</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Dividend Yield, %</w:t>
            </w:r>
          </w:p>
        </w:tc>
        <w:tc>
          <w:tcPr>
            <w:tcW w:type="dxa" w:w="1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0.06%</w:t>
            </w:r>
          </w:p>
        </w:tc>
        <w:tc>
          <w:tcPr>
            <w:tcW w:type="dxa" w:w="412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5"/>
                <w:szCs w:val="15"/>
                <w:rFonts w:ascii="Arial" w:cs="Arial" w:eastAsia="Arial" w:hAnsi="Arial"/>
              </w:rPr>
              <w:t xml:space="preserve">TTM dividend yield. For growth compounders, low/no dividend = more capital reinvested at high returns = stronger compounding.</w:t>
            </w:r>
          </w:p>
        </w:tc>
        <w:tc>
          <w:tcPr>
            <w:tcW w:type="dxa" w:w="14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bCs/>
                <w:color w:val="E8801A"/>
                <w:sz w:val="18"/>
                <w:szCs w:val="18"/>
                <w:rFonts w:ascii="Arial" w:cs="Arial" w:eastAsia="Arial" w:hAnsi="Arial"/>
              </w:rPr>
              <w:t xml:space="preserve">Neutral</w:t>
            </w:r>
          </w:p>
        </w:tc>
      </w:tr>
    </w:tbl>
    <w:p>
      <w:pPr>
        <w:spacing w:before="40" w:after="40"/>
        <w:jc w:val="left"/>
      </w:pPr>
      <w:r>
        <w:rPr>
          <w:b w:val="false"/>
          <w:bCs w:val="false"/>
          <w:i/>
          <w:iCs/>
          <w:color w:val="595959"/>
          <w:sz w:val="16"/>
          <w:szCs w:val="16"/>
          <w:rFonts w:ascii="Arial" w:cs="Arial" w:eastAsia="Arial" w:hAnsi="Arial"/>
        </w:rPr>
        <w:t xml:space="preserve">ℹ  P/E shown as N/M (not meaningful) when earnings are negative. ROE = Net Income ÷ Average Shareholder Equity. FCF/EV: &gt;8% Favorable | 4–7% Neutral | &lt;2% Elevated | Negative N/M. EV/EBITDA: &lt;10x Favorable | 10–20x Neutral | &gt;20x Elevated. Sector benchmarks from FMP.</w:t>
      </w:r>
    </w:p>
    <w:p>
      <w:pPr>
        <w:spacing w:before="0" w:after="60"/>
        <w:jc w:val="left"/>
      </w:pPr>
      <w:r>
        <w:rPr>
          <w:b w:val="false"/>
          <w:bCs w:val="false"/>
          <w:color w:val="000000"/>
          <w:sz w:val="20"/>
          <w:szCs w:val="20"/>
          <w:rFonts w:ascii="Arial" w:cs="Arial" w:eastAsia="Arial" w:hAnsi="Arial"/>
        </w:rPr>
      </w:r>
    </w:p>
    <w:p>
      <w:pPr>
        <w:spacing w:before="80" w:after="60"/>
        <w:jc w:val="left"/>
      </w:pPr>
      <w:r>
        <w:rPr>
          <w:b/>
          <w:bCs/>
          <w:color w:val="1F3864"/>
          <w:sz w:val="20"/>
          <w:szCs w:val="20"/>
          <w:rFonts w:ascii="Arial" w:cs="Arial" w:eastAsia="Arial" w:hAnsi="Arial"/>
        </w:rPr>
        <w:t xml:space="preserve">B — Recent Valuation Trend (Last 4 Quarters, TTM Denominators)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740"/>
        <w:gridCol w:w="1740"/>
        <w:gridCol w:w="1740"/>
        <w:gridCol w:w="1740"/>
      </w:tblGrid>
      <w:tr>
        <w:tc>
          <w:tcPr>
            <w:tcW w:type="dxa" w:w="24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Metric</w:t>
            </w:r>
          </w:p>
        </w:tc>
        <w:tc>
          <w:tcPr>
            <w:tcW w:type="dxa" w:w="17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2025-11</w:t>
            </w:r>
          </w:p>
        </w:tc>
        <w:tc>
          <w:tcPr>
            <w:tcW w:type="dxa" w:w="17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2026-02</w:t>
            </w:r>
          </w:p>
        </w:tc>
        <w:tc>
          <w:tcPr>
            <w:tcW w:type="dxa" w:w="17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2026-05</w:t>
            </w:r>
          </w:p>
        </w:tc>
        <w:tc>
          <w:tcPr>
            <w:tcW w:type="dxa" w:w="174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2026-09</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Market Cap ($M)</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267,459M</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466,390M</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1,098,201M</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1,149,763M</w:t>
            </w:r>
          </w:p>
        </w:tc>
      </w:tr>
      <w:tr>
        <w:tc>
          <w:tcPr>
            <w:tcW w:type="dxa" w:w="24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EV ($M)</w:t>
            </w:r>
          </w:p>
        </w:tc>
        <w:tc>
          <w:tcPr>
            <w:tcW w:type="dxa" w:w="17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234,274M</w:t>
            </w:r>
          </w:p>
        </w:tc>
        <w:tc>
          <w:tcPr>
            <w:tcW w:type="dxa" w:w="17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433,205M</w:t>
            </w:r>
          </w:p>
        </w:tc>
        <w:tc>
          <w:tcPr>
            <w:tcW w:type="dxa" w:w="17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1,065,016M</w:t>
            </w:r>
          </w:p>
        </w:tc>
        <w:tc>
          <w:tcPr>
            <w:tcW w:type="dxa" w:w="17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1,116,578M</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P/E (price ÷ TTM EPS)</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22.5x</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19.5x</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22.0x</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13.7x</w:t>
            </w:r>
          </w:p>
        </w:tc>
      </w:tr>
      <w:tr>
        <w:tc>
          <w:tcPr>
            <w:tcW w:type="dxa" w:w="240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EV/EBITDA (EV ÷ TTM EBITDA)</w:t>
            </w:r>
          </w:p>
        </w:tc>
        <w:tc>
          <w:tcPr>
            <w:tcW w:type="dxa" w:w="17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10.4x</w:t>
            </w:r>
          </w:p>
        </w:tc>
        <w:tc>
          <w:tcPr>
            <w:tcW w:type="dxa" w:w="17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11.7x</w:t>
            </w:r>
          </w:p>
        </w:tc>
        <w:tc>
          <w:tcPr>
            <w:tcW w:type="dxa" w:w="17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15.6x</w:t>
            </w:r>
          </w:p>
        </w:tc>
        <w:tc>
          <w:tcPr>
            <w:tcW w:type="dxa" w:w="17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10.2x</w:t>
            </w:r>
          </w:p>
        </w:tc>
      </w:tr>
      <w:tr>
        <w:tc>
          <w:tcPr>
            <w:tcW w:type="dxa" w:w="24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8"/>
                <w:szCs w:val="18"/>
                <w:rFonts w:ascii="Arial" w:cs="Arial" w:eastAsia="Arial" w:hAnsi="Arial"/>
              </w:rPr>
              <w:t xml:space="preserve">FCF/EV % (TTM FCF ÷ EV)</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2.0%</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2.4%</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2.5%</w:t>
            </w:r>
          </w:p>
        </w:tc>
        <w:tc>
          <w:tcPr>
            <w:tcW w:type="dxa" w:w="174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4.7%</w:t>
            </w:r>
          </w:p>
        </w:tc>
      </w:tr>
    </w:tbl>
    <w:p>
      <w:pPr>
        <w:spacing w:before="40" w:after="40"/>
        <w:jc w:val="left"/>
      </w:pPr>
      <w:r>
        <w:rPr>
          <w:b w:val="false"/>
          <w:bCs w:val="false"/>
          <w:i/>
          <w:iCs/>
          <w:color w:val="595959"/>
          <w:sz w:val="16"/>
          <w:szCs w:val="16"/>
          <w:rFonts w:ascii="Arial" w:cs="Arial" w:eastAsia="Arial" w:hAnsi="Arial"/>
        </w:rPr>
        <w:t xml:space="preserve">ℹ  P/E, EV/EBITDA, and FCF/EV use period-end price with TTM financials as of each quarter (sum of 4 quarters ending at that point). EV approximates using current balance sheet debt and cash — minor variance vs exact historical balance sheet.</w:t>
      </w:r>
    </w:p>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FF9E6" w:val="clear"/>
            <w:tcMar>
              <w:top w:type="dxa" w:w="120"/>
              <w:left w:type="dxa" w:w="160"/>
              <w:bottom w:type="dxa" w:w="120"/>
              <w:right w:type="dxa" w:w="160"/>
            </w:tcMar>
          </w:tcPr>
          <w:p>
            <w:pPr>
              <w:spacing w:before="0" w:after="0"/>
              <w:jc w:val="left"/>
            </w:pPr>
            <w:r>
              <w:rPr>
                <w:b w:val="false"/>
                <w:bCs w:val="false"/>
                <w:color w:val="000000"/>
                <w:sz w:val="19"/>
                <w:szCs w:val="19"/>
                <w:rFonts w:ascii="Arial" w:cs="Arial" w:eastAsia="Arial" w:hAnsi="Arial"/>
              </w:rPr>
              <w:t xml:space="preserve">Valuation profile: Favorable. At $878.84 per share against TTM EPS of $75.31, Micron trades at approximately 11.7x TTM earnings — a remarkably low multiple given the growth profile, though this likely reflects the market's skepticism about cycle sustainability. The analyst consensus target of $1,663 implies the market is pricing in significant mean reversion in earnings, not current TTM levels. Compared to sector peers, Micron's P/E appears favorable if HBM demand remains structural, but historically memory stocks trade at low multiples precisely because earnings volatility is extreme, and the market is applying that discount here.</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10 — CATALYST &amp; SETUP CLASSIFICATION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Setup Type</w:t>
            </w:r>
          </w:p>
        </w:tc>
        <w:tc>
          <w:tcPr>
            <w:tcW w:type="dxa" w:w="62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E8801A"/>
                <w:sz w:val="18"/>
                <w:szCs w:val="18"/>
                <w:rFonts w:ascii="Arial" w:cs="Arial" w:eastAsia="Arial" w:hAnsi="Arial"/>
              </w:rPr>
              <w:t xml:space="preserve">Cyclical Rebound</w:t>
            </w:r>
          </w:p>
        </w:tc>
      </w:tr>
      <w:tr>
        <w:tc>
          <w:tcPr>
            <w:tcW w:type="dxa" w:w="312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Setup Secondary</w:t>
            </w:r>
          </w:p>
        </w:tc>
        <w:tc>
          <w:tcPr>
            <w:tcW w:type="dxa" w:w="62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Estimate Revision</w:t>
            </w:r>
          </w:p>
        </w:tc>
      </w:tr>
      <w:tr>
        <w:tc>
          <w:tcPr>
            <w:tcW w:type="dxa" w:w="312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Overall Quality</w:t>
            </w:r>
          </w:p>
        </w:tc>
        <w:tc>
          <w:tcPr>
            <w:tcW w:type="dxa" w:w="62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Real Move</w:t>
            </w:r>
          </w:p>
        </w:tc>
      </w:tr>
      <w:tr>
        <w:tc>
          <w:tcPr>
            <w:tcW w:type="dxa" w:w="312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Catalyst Identified</w:t>
            </w:r>
          </w:p>
        </w:tc>
        <w:tc>
          <w:tcPr>
            <w:tcW w:type="dxa" w:w="62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375623"/>
                <w:sz w:val="18"/>
                <w:szCs w:val="18"/>
                <w:rFonts w:ascii="Arial" w:cs="Arial" w:eastAsia="Arial" w:hAnsi="Arial"/>
              </w:rPr>
              <w:t xml:space="preserve">YES — See description below</w:t>
            </w:r>
          </w:p>
        </w:tc>
      </w:tr>
      <w:tr>
        <w:tc>
          <w:tcPr>
            <w:tcW w:type="dxa" w:w="312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Catalyst Description</w:t>
            </w:r>
          </w:p>
        </w:tc>
        <w:tc>
          <w:tcPr>
            <w:tcW w:type="dxa" w:w="6240"/>
            <w:tcBorders>
              <w:top w:val="single" w:color="BFBFBF" w:sz="1"/>
              <w:left w:val="single" w:color="BFBFBF" w:sz="1"/>
              <w:bottom w:val="single" w:color="BFBFBF" w:sz="1"/>
              <w:right w:val="single" w:color="BFBFBF" w:sz="1"/>
            </w:tcBorders>
            <w:tcMar>
              <w:top w:type="dxa" w:w="80"/>
              <w:left w:type="dxa" w:w="120"/>
              <w:bottom w:type="dxa" w:w="80"/>
              <w:right w:type="dxa" w:w="120"/>
            </w:tcMar>
          </w:tcPr>
          <w:p>
            <w:pPr>
              <w:spacing w:before="0" w:after="0"/>
              <w:jc w:val="left"/>
            </w:pPr>
            <w:r>
              <w:rPr>
                <w:b w:val="false"/>
                <w:bCs w:val="false"/>
                <w:color w:val="000000"/>
                <w:sz w:val="18"/>
                <w:szCs w:val="18"/>
                <w:rFonts w:ascii="Arial" w:cs="Arial" w:eastAsia="Arial" w:hAnsi="Arial"/>
              </w:rPr>
              <w:t xml:space="preserve">Micron is benefiting from explosive HBM (High Bandwidth Memory) demand driven by AI infrastructure buildout, with TTM revenue reaching $133.19B and operating margins expanding to 75%, reflecting a dramatic cyclical and structural recovery from the 2023 trough.</w:t>
            </w:r>
          </w:p>
        </w:tc>
      </w:tr>
      <w:tr>
        <w:tc>
          <w:tcPr>
            <w:tcW w:type="dxa" w:w="312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Timeline</w:t>
            </w:r>
          </w:p>
        </w:tc>
        <w:tc>
          <w:tcPr>
            <w:tcW w:type="dxa" w:w="62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000000"/>
                <w:sz w:val="18"/>
                <w:szCs w:val="18"/>
                <w:rFonts w:ascii="Arial" w:cs="Arial" w:eastAsia="Arial" w:hAnsi="Arial"/>
              </w:rPr>
              <w:t xml:space="preserve">0-3 months</w:t>
            </w:r>
          </w:p>
        </w:tc>
      </w:tr>
      <w:tr>
        <w:tc>
          <w:tcPr>
            <w:tcW w:type="dxa" w:w="3120"/>
            <w:gridSpan w:val="1"/>
            <w:tcBorders>
              <w:top w:val="single" w:color="BFBFBF" w:sz="1"/>
              <w:left w:val="single" w:color="BFBFBF" w:sz="1"/>
              <w:bottom w:val="single" w:color="BFBFBF" w:sz="1"/>
              <w:right w:val="single" w:color="BFBFBF" w:sz="1"/>
            </w:tcBorders>
            <w:shd w:fill="DEEAF1" w:val="clear"/>
            <w:tcMar>
              <w:top w:type="dxa" w:w="60"/>
              <w:left w:type="dxa" w:w="100"/>
              <w:bottom w:type="dxa" w:w="60"/>
              <w:right w:type="dxa" w:w="100"/>
            </w:tcMar>
            <w:vAlign w:val="center"/>
          </w:tcPr>
          <w:p>
            <w:pPr>
              <w:spacing w:before="60" w:after="60"/>
              <w:jc w:val="left"/>
            </w:pPr>
            <w:r>
              <w:rPr>
                <w:b/>
                <w:bCs/>
                <w:color w:val="000000"/>
                <w:sz w:val="18"/>
                <w:szCs w:val="18"/>
                <w:rFonts w:ascii="Arial" w:cs="Arial" w:eastAsia="Arial" w:hAnsi="Arial"/>
              </w:rPr>
              <w:t xml:space="preserve">Strength</w:t>
            </w:r>
          </w:p>
        </w:tc>
        <w:tc>
          <w:tcPr>
            <w:tcW w:type="dxa" w:w="6240"/>
            <w:gridSpan w:val="1"/>
            <w:tcBorders>
              <w:top w:val="single" w:color="BFBFBF" w:sz="1"/>
              <w:left w:val="single" w:color="BFBFBF" w:sz="1"/>
              <w:bottom w:val="single" w:color="BFBFBF" w:sz="1"/>
              <w:right w:val="single" w:color="BFBFBF" w:sz="1"/>
            </w:tcBorders>
            <w:tcMar>
              <w:top w:type="dxa" w:w="60"/>
              <w:left w:type="dxa" w:w="100"/>
              <w:bottom w:type="dxa" w:w="60"/>
              <w:right w:type="dxa" w:w="100"/>
            </w:tcMar>
            <w:vAlign w:val="center"/>
          </w:tcPr>
          <w:p>
            <w:pPr>
              <w:spacing w:before="60" w:after="60"/>
              <w:jc w:val="left"/>
            </w:pPr>
            <w:r>
              <w:rPr>
                <w:b w:val="false"/>
                <w:bCs w:val="false"/>
                <w:color w:val="E8801A"/>
                <w:sz w:val="18"/>
                <w:szCs w:val="18"/>
                <w:rFonts w:ascii="Arial" w:cs="Arial" w:eastAsia="Arial" w:hAnsi="Arial"/>
              </w:rPr>
              <w:t xml:space="preserve">Strong</w:t>
            </w:r>
          </w:p>
        </w:tc>
      </w:tr>
    </w:tbl>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FF9E6" w:val="clear"/>
            <w:tcMar>
              <w:top w:type="dxa" w:w="120"/>
              <w:left w:type="dxa" w:w="160"/>
              <w:bottom w:type="dxa" w:w="120"/>
              <w:right w:type="dxa" w:w="160"/>
            </w:tcMar>
          </w:tcPr>
          <w:p>
            <w:pPr>
              <w:spacing w:before="0" w:after="0"/>
              <w:jc w:val="left"/>
            </w:pPr>
            <w:r>
              <w:rPr>
                <w:b w:val="false"/>
                <w:bCs w:val="false"/>
                <w:color w:val="000000"/>
                <w:sz w:val="19"/>
                <w:szCs w:val="19"/>
                <w:rFonts w:ascii="Arial" w:cs="Arial" w:eastAsia="Arial" w:hAnsi="Arial"/>
              </w:rPr>
              <w:t xml:space="preserve">Catalyst Takeaway: Cyclical Rebound = industry is recovering from a downturn and the company is riding the sector recovery. Timeline 0–3 months: confirming event (typically next earnings) is imminent. "Strong" = catalyst documented and verifiable — not speculative.</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11 — RECENT NEWS HEADLINES</w:t>
      </w:r>
    </w:p>
    <w:p>
      <w:pPr>
        <w:spacing w:before="40" w:after="40"/>
        <w:jc w:val="left"/>
      </w:pPr>
      <w:r>
        <w:rPr>
          <w:b w:val="false"/>
          <w:bCs w:val="false"/>
          <w:i/>
          <w:iCs/>
          <w:color w:val="595959"/>
          <w:sz w:val="16"/>
          <w:szCs w:val="16"/>
          <w:rFonts w:ascii="Arial" w:cs="Arial" w:eastAsia="Arial" w:hAnsi="Arial"/>
        </w:rPr>
        <w:t xml:space="preserve">ℹ  Deduplicated by title. Sorted most recent first.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7200"/>
        <w:gridCol w:w="960"/>
      </w:tblGrid>
      <w:tr>
        <w:tc>
          <w:tcPr>
            <w:tcW w:type="dxa" w:w="12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Date</w:t>
            </w:r>
          </w:p>
        </w:tc>
        <w:tc>
          <w:tcPr>
            <w:tcW w:type="dxa" w:w="720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Headline</w:t>
            </w:r>
          </w:p>
        </w:tc>
        <w:tc>
          <w:tcPr>
            <w:tcW w:type="dxa" w:w="960"/>
            <w:gridSpan w:val="1"/>
            <w:tcBorders>
              <w:top w:val="single" w:color="BFBFBF" w:sz="1"/>
              <w:left w:val="single" w:color="BFBFBF" w:sz="1"/>
              <w:bottom w:val="single" w:color="BFBFBF" w:sz="1"/>
              <w:right w:val="single" w:color="BFBFBF" w:sz="1"/>
            </w:tcBorders>
            <w:shd w:fill="1F3864" w:val="clear"/>
            <w:tcMar>
              <w:top w:type="dxa" w:w="60"/>
              <w:left w:type="dxa" w:w="100"/>
              <w:bottom w:type="dxa" w:w="60"/>
              <w:right w:type="dxa" w:w="100"/>
            </w:tcMar>
            <w:vAlign w:val="center"/>
          </w:tcPr>
          <w:p>
            <w:pPr>
              <w:spacing w:before="60" w:after="60"/>
              <w:jc w:val="left"/>
            </w:pPr>
            <w:r>
              <w:rPr>
                <w:b/>
                <w:bCs/>
                <w:color w:val="FFFFFF"/>
                <w:sz w:val="18"/>
                <w:szCs w:val="18"/>
                <w:rFonts w:ascii="Arial" w:cs="Arial" w:eastAsia="Arial" w:hAnsi="Arial"/>
              </w:rPr>
              <w:t xml:space="preserve">Source</w:t>
            </w:r>
          </w:p>
        </w:tc>
      </w:tr>
      <w:tr>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6"/>
                <w:szCs w:val="16"/>
                <w:rFonts w:ascii="Arial" w:cs="Arial" w:eastAsia="Arial" w:hAnsi="Arial"/>
              </w:rPr>
              <w:t xml:space="preserve">2026-10-17</w:t>
            </w:r>
          </w:p>
        </w:tc>
        <w:tc>
          <w:tcPr>
            <w:tcW w:type="dxa" w:w="7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7"/>
                <w:szCs w:val="17"/>
                <w:rFonts w:ascii="Arial" w:cs="Arial" w:eastAsia="Arial" w:hAnsi="Arial"/>
              </w:rPr>
              <w:t xml:space="preserve">Micron Looks Cheap on Earnings. How Much Can Profits Fall Before That Changes?</w:t>
            </w:r>
          </w:p>
        </w:tc>
        <w:tc>
          <w:tcPr>
            <w:tcW w:type="dxa" w:w="9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4"/>
                <w:szCs w:val="14"/>
                <w:rFonts w:ascii="Arial" w:cs="Arial" w:eastAsia="Arial" w:hAnsi="Arial"/>
              </w:rPr>
              <w:t xml:space="preserve">EODHD</w:t>
            </w:r>
          </w:p>
        </w:tc>
      </w:tr>
      <w:tr>
        <w:tc>
          <w:tcPr>
            <w:tcW w:type="dxa" w:w="1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6"/>
                <w:szCs w:val="16"/>
                <w:rFonts w:ascii="Arial" w:cs="Arial" w:eastAsia="Arial" w:hAnsi="Arial"/>
              </w:rPr>
              <w:t xml:space="preserve">2026-10-17</w:t>
            </w:r>
          </w:p>
        </w:tc>
        <w:tc>
          <w:tcPr>
            <w:tcW w:type="dxa" w:w="7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7"/>
                <w:szCs w:val="17"/>
                <w:rFonts w:ascii="Arial" w:cs="Arial" w:eastAsia="Arial" w:hAnsi="Arial"/>
              </w:rPr>
              <w:t xml:space="preserve">Jim Cramer On Micron (MU) &amp;amp; Intel (INTC): Nothing Is Working Despite Good Businesses &amp;amp; Strong Quarters</w:t>
            </w:r>
          </w:p>
        </w:tc>
        <w:tc>
          <w:tcPr>
            <w:tcW w:type="dxa" w:w="9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4"/>
                <w:szCs w:val="14"/>
                <w:rFonts w:ascii="Arial" w:cs="Arial" w:eastAsia="Arial" w:hAnsi="Arial"/>
              </w:rPr>
              <w:t xml:space="preserve">EODHD</w:t>
            </w:r>
          </w:p>
        </w:tc>
      </w:tr>
      <w:tr>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6"/>
                <w:szCs w:val="16"/>
                <w:rFonts w:ascii="Arial" w:cs="Arial" w:eastAsia="Arial" w:hAnsi="Arial"/>
              </w:rPr>
              <w:t xml:space="preserve">2026-10-16</w:t>
            </w:r>
          </w:p>
        </w:tc>
        <w:tc>
          <w:tcPr>
            <w:tcW w:type="dxa" w:w="7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7"/>
                <w:szCs w:val="17"/>
                <w:rFonts w:ascii="Arial" w:cs="Arial" w:eastAsia="Arial" w:hAnsi="Arial"/>
              </w:rPr>
              <w:t xml:space="preserve">Update: Nasdaq Falls to End Four-Week Winning Streak Amid Tech Sell-Off</w:t>
            </w:r>
          </w:p>
        </w:tc>
        <w:tc>
          <w:tcPr>
            <w:tcW w:type="dxa" w:w="9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4"/>
                <w:szCs w:val="14"/>
                <w:rFonts w:ascii="Arial" w:cs="Arial" w:eastAsia="Arial" w:hAnsi="Arial"/>
              </w:rPr>
              <w:t xml:space="preserve">EODHD</w:t>
            </w:r>
          </w:p>
        </w:tc>
      </w:tr>
      <w:tr>
        <w:tc>
          <w:tcPr>
            <w:tcW w:type="dxa" w:w="1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6"/>
                <w:szCs w:val="16"/>
                <w:rFonts w:ascii="Arial" w:cs="Arial" w:eastAsia="Arial" w:hAnsi="Arial"/>
              </w:rPr>
              <w:t xml:space="preserve">2026-10-16</w:t>
            </w:r>
          </w:p>
        </w:tc>
        <w:tc>
          <w:tcPr>
            <w:tcW w:type="dxa" w:w="7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7"/>
                <w:szCs w:val="17"/>
                <w:rFonts w:ascii="Arial" w:cs="Arial" w:eastAsia="Arial" w:hAnsi="Arial"/>
              </w:rPr>
              <w:t xml:space="preserve">How major US stock indexes fared Friday 10/16/2026</w:t>
            </w:r>
          </w:p>
        </w:tc>
        <w:tc>
          <w:tcPr>
            <w:tcW w:type="dxa" w:w="9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4"/>
                <w:szCs w:val="14"/>
                <w:rFonts w:ascii="Arial" w:cs="Arial" w:eastAsia="Arial" w:hAnsi="Arial"/>
              </w:rPr>
              <w:t xml:space="preserve">EODHD</w:t>
            </w:r>
          </w:p>
        </w:tc>
      </w:tr>
      <w:tr>
        <w:tc>
          <w:tcPr>
            <w:tcW w:type="dxa" w:w="1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6"/>
                <w:szCs w:val="16"/>
                <w:rFonts w:ascii="Arial" w:cs="Arial" w:eastAsia="Arial" w:hAnsi="Arial"/>
              </w:rPr>
              <w:t xml:space="preserve">2026-10-16</w:t>
            </w:r>
          </w:p>
        </w:tc>
        <w:tc>
          <w:tcPr>
            <w:tcW w:type="dxa" w:w="720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000000"/>
                <w:sz w:val="17"/>
                <w:szCs w:val="17"/>
                <w:rFonts w:ascii="Arial" w:cs="Arial" w:eastAsia="Arial" w:hAnsi="Arial"/>
              </w:rPr>
              <w:t xml:space="preserve">Entegris, Micron, AMD, Marvell Technology, and Western Digital Shares Are Falling, What You Need To Know</w:t>
            </w:r>
          </w:p>
        </w:tc>
        <w:tc>
          <w:tcPr>
            <w:tcW w:type="dxa" w:w="960"/>
            <w:gridSpan w:val="1"/>
            <w:tcBorders>
              <w:top w:val="single" w:color="BFBFBF" w:sz="1"/>
              <w:left w:val="single" w:color="BFBFBF" w:sz="1"/>
              <w:bottom w:val="single" w:color="BFBFBF" w:sz="1"/>
              <w:right w:val="single" w:color="BFBFBF" w:sz="1"/>
            </w:tcBorders>
            <w:shd w:fill="F2F2F2" w:val="clear"/>
            <w:tcMar>
              <w:top w:type="dxa" w:w="60"/>
              <w:left w:type="dxa" w:w="100"/>
              <w:bottom w:type="dxa" w:w="60"/>
              <w:right w:type="dxa" w:w="100"/>
            </w:tcMar>
            <w:vAlign w:val="center"/>
          </w:tcPr>
          <w:p>
            <w:pPr>
              <w:spacing w:before="60" w:after="60"/>
              <w:jc w:val="left"/>
            </w:pPr>
            <w:r>
              <w:rPr>
                <w:b w:val="false"/>
                <w:bCs w:val="false"/>
                <w:color w:val="595959"/>
                <w:sz w:val="14"/>
                <w:szCs w:val="14"/>
                <w:rFonts w:ascii="Arial" w:cs="Arial" w:eastAsia="Arial" w:hAnsi="Arial"/>
              </w:rPr>
              <w:t xml:space="preserve">EODHD</w:t>
            </w:r>
          </w:p>
        </w:tc>
      </w:tr>
      <w:tr>
        <w:tc>
          <w:tcPr>
            <w:tcW w:type="dxa" w:w="1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6"/>
                <w:szCs w:val="16"/>
                <w:rFonts w:ascii="Arial" w:cs="Arial" w:eastAsia="Arial" w:hAnsi="Arial"/>
              </w:rPr>
              <w:t xml:space="preserve">2026-10-16</w:t>
            </w:r>
          </w:p>
        </w:tc>
        <w:tc>
          <w:tcPr>
            <w:tcW w:type="dxa" w:w="720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000000"/>
                <w:sz w:val="17"/>
                <w:szCs w:val="17"/>
                <w:rFonts w:ascii="Arial" w:cs="Arial" w:eastAsia="Arial" w:hAnsi="Arial"/>
              </w:rPr>
              <w:t xml:space="preserve">Q3 Earnings Season Preview: Revenue Beats Lag, Multi-Sector Momentum Holds</w:t>
            </w:r>
          </w:p>
        </w:tc>
        <w:tc>
          <w:tcPr>
            <w:tcW w:type="dxa" w:w="960"/>
            <w:gridSpan w:val="1"/>
            <w:tcBorders>
              <w:top w:val="single" w:color="BFBFBF" w:sz="1"/>
              <w:left w:val="single" w:color="BFBFBF" w:sz="1"/>
              <w:bottom w:val="single" w:color="BFBFBF" w:sz="1"/>
              <w:right w:val="single" w:color="BFBFBF" w:sz="1"/>
            </w:tcBorders>
            <w:shd w:fill="FFFFFF" w:val="clear"/>
            <w:tcMar>
              <w:top w:type="dxa" w:w="60"/>
              <w:left w:type="dxa" w:w="100"/>
              <w:bottom w:type="dxa" w:w="60"/>
              <w:right w:type="dxa" w:w="100"/>
            </w:tcMar>
            <w:vAlign w:val="center"/>
          </w:tcPr>
          <w:p>
            <w:pPr>
              <w:spacing w:before="60" w:after="60"/>
              <w:jc w:val="left"/>
            </w:pPr>
            <w:r>
              <w:rPr>
                <w:b w:val="false"/>
                <w:bCs w:val="false"/>
                <w:color w:val="595959"/>
                <w:sz w:val="14"/>
                <w:szCs w:val="14"/>
                <w:rFonts w:ascii="Arial" w:cs="Arial" w:eastAsia="Arial" w:hAnsi="Arial"/>
              </w:rPr>
              <w:t xml:space="preserve">EODHD</w:t>
            </w:r>
          </w:p>
        </w:tc>
      </w:tr>
    </w:tbl>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FF9E6" w:val="clear"/>
            <w:tcMar>
              <w:top w:type="dxa" w:w="120"/>
              <w:left w:type="dxa" w:w="160"/>
              <w:bottom w:type="dxa" w:w="120"/>
              <w:right w:type="dxa" w:w="160"/>
            </w:tcMar>
          </w:tcPr>
          <w:p>
            <w:pPr>
              <w:spacing w:before="0" w:after="0"/>
              <w:jc w:val="left"/>
            </w:pPr>
            <w:r>
              <w:rPr>
                <w:b w:val="false"/>
                <w:bCs w:val="false"/>
                <w:color w:val="000000"/>
                <w:sz w:val="19"/>
                <w:szCs w:val="19"/>
                <w:rFonts w:ascii="Arial" w:cs="Arial" w:eastAsia="Arial" w:hAnsi="Arial"/>
              </w:rPr>
              <w:t xml:space="preserve">Recent headlines reflect a broad tech sector selloff and specific pressure on semiconductor names including Micron, AMD, and Marvell. Jim Cramer's commentary noting 'nothing is working despite strong quarters' suggests the disconnect between fundamentals and price action is widely observed. No red flags around management changes, investigations, or fraud — the weakness appears macro and sector-driven rather than company-specific.</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12 — BULL CASE &amp; BEAR CASE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4800"/>
      </w:tblGrid>
      <w:tr>
        <w:tc>
          <w:tcPr>
            <w:tcW w:type="dxa" w:w="4560"/>
            <w:tcBorders>
              <w:top w:val="single" w:color="BFBFBF" w:sz="1"/>
              <w:left w:val="single" w:color="BFBFBF" w:sz="1"/>
              <w:bottom w:val="single" w:color="BFBFBF" w:sz="1"/>
              <w:right w:val="single" w:color="BFBFBF" w:sz="1"/>
            </w:tcBorders>
            <w:shd w:fill="1E4620" w:val="clear"/>
            <w:tcMar>
              <w:top w:type="dxa" w:w="100"/>
              <w:left w:type="dxa" w:w="140"/>
              <w:bottom w:type="dxa" w:w="100"/>
              <w:right w:type="dxa" w:w="100"/>
            </w:tcMar>
          </w:tcPr>
          <w:p>
            <w:pPr>
              <w:spacing w:before="60" w:after="100"/>
              <w:jc w:val="center"/>
            </w:pPr>
            <w:r>
              <w:rPr>
                <w:b/>
                <w:bCs/>
                <w:color w:val="FFFFFF"/>
                <w:sz w:val="20"/>
                <w:szCs w:val="20"/>
                <w:rFonts w:ascii="Arial" w:cs="Arial" w:eastAsia="Arial" w:hAnsi="Arial"/>
              </w:rPr>
              <w:t xml:space="preserve">GREEN  BULL CASE — TOP 3</w:t>
            </w:r>
          </w:p>
          <w:p>
            <w:pPr>
              <w:spacing w:before="60" w:after="60"/>
              <w:jc w:val="left"/>
            </w:pPr>
            <w:r>
              <w:rPr>
                <w:b/>
                <w:bCs/>
                <w:color w:val="90EE90"/>
                <w:sz w:val="18"/>
                <w:szCs w:val="18"/>
                <w:rFonts w:ascii="Arial" w:cs="Arial" w:eastAsia="Arial" w:hAnsi="Arial"/>
              </w:rPr>
              <w:t xml:space="preserve">BULL 1:  </w:t>
            </w:r>
            <w:r>
              <w:rPr>
                <w:b w:val="false"/>
                <w:bCs w:val="false"/>
                <w:color w:val="FFFFFF"/>
                <w:sz w:val="18"/>
                <w:szCs w:val="18"/>
                <w:rFonts w:ascii="Arial" w:cs="Arial" w:eastAsia="Arial" w:hAnsi="Arial"/>
              </w:rPr>
              <w:t xml:space="preserve">Revenue surged from $15.54B in 2023 to $133.19B TTM, a ~104.6% revenue CAGR, driven by AI-related HBM demand and memory pricing recovery — one of the most powerful cyclical inflections in semiconductor history.</w:t>
            </w:r>
          </w:p>
          <w:p>
            <w:pPr>
              <w:spacing w:before="60" w:after="60"/>
              <w:jc w:val="left"/>
            </w:pPr>
            <w:r>
              <w:rPr>
                <w:b/>
                <w:bCs/>
                <w:color w:val="90EE90"/>
                <w:sz w:val="18"/>
                <w:szCs w:val="18"/>
                <w:rFonts w:ascii="Arial" w:cs="Arial" w:eastAsia="Arial" w:hAnsi="Arial"/>
              </w:rPr>
              <w:t xml:space="preserve">BULL 2:  </w:t>
            </w:r>
            <w:r>
              <w:rPr>
                <w:b w:val="false"/>
                <w:bCs w:val="false"/>
                <w:color w:val="FFFFFF"/>
                <w:sz w:val="18"/>
                <w:szCs w:val="18"/>
                <w:rFonts w:ascii="Arial" w:cs="Arial" w:eastAsia="Arial" w:hAnsi="Arial"/>
              </w:rPr>
              <w:t xml:space="preserve">Operating margins expanded from -37% in 2023 to 75% TTM, with gross margin at 80.7%, reflecting exceptional pricing power and product mix shift toward high-value AI memory products.</w:t>
            </w:r>
          </w:p>
          <w:p>
            <w:pPr>
              <w:spacing w:before="60" w:after="60"/>
              <w:jc w:val="left"/>
            </w:pPr>
            <w:r>
              <w:rPr>
                <w:b/>
                <w:bCs/>
                <w:color w:val="90EE90"/>
                <w:sz w:val="18"/>
                <w:szCs w:val="18"/>
                <w:rFonts w:ascii="Arial" w:cs="Arial" w:eastAsia="Arial" w:hAnsi="Arial"/>
              </w:rPr>
              <w:t xml:space="preserve">BULL 3:  </w:t>
            </w:r>
            <w:r>
              <w:rPr>
                <w:b w:val="false"/>
                <w:bCs w:val="false"/>
                <w:color w:val="FFFFFF"/>
                <w:sz w:val="18"/>
                <w:szCs w:val="18"/>
                <w:rFonts w:ascii="Arial" w:cs="Arial" w:eastAsia="Arial" w:hAnsi="Arial"/>
              </w:rPr>
              <w:t xml:space="preserve">Balance sheet is fortress-level with $25B cash, only $9.2B total debt, and net cash of $15.79B, providing ample capacity to fund capex and withstand another memory downturn.</w:t>
            </w:r>
          </w:p>
        </w:tc>
        <w:tc>
          <w:tcPr>
            <w:tcW w:type="dxa" w:w="4800"/>
            <w:tcBorders>
              <w:top w:val="single" w:color="BFBFBF" w:sz="1"/>
              <w:left w:val="single" w:color="BFBFBF" w:sz="1"/>
              <w:bottom w:val="single" w:color="BFBFBF" w:sz="1"/>
              <w:right w:val="single" w:color="BFBFBF" w:sz="1"/>
            </w:tcBorders>
            <w:shd w:fill="7B0000" w:val="clear"/>
            <w:tcMar>
              <w:top w:type="dxa" w:w="100"/>
              <w:left w:type="dxa" w:w="100"/>
              <w:bottom w:type="dxa" w:w="100"/>
              <w:right w:type="dxa" w:w="140"/>
            </w:tcMar>
          </w:tcPr>
          <w:p>
            <w:pPr>
              <w:spacing w:before="60" w:after="100"/>
              <w:jc w:val="center"/>
            </w:pPr>
            <w:r>
              <w:rPr>
                <w:b/>
                <w:bCs/>
                <w:color w:val="FFFFFF"/>
                <w:sz w:val="20"/>
                <w:szCs w:val="20"/>
                <w:rFonts w:ascii="Arial" w:cs="Arial" w:eastAsia="Arial" w:hAnsi="Arial"/>
              </w:rPr>
              <w:t xml:space="preserve">RED  BEAR CASE — TOP 3</w:t>
            </w:r>
          </w:p>
          <w:p>
            <w:pPr>
              <w:spacing w:before="60" w:after="60"/>
              <w:jc w:val="left"/>
            </w:pPr>
            <w:r>
              <w:rPr>
                <w:b/>
                <w:bCs/>
                <w:color w:val="FFAAAA"/>
                <w:sz w:val="18"/>
                <w:szCs w:val="18"/>
                <w:rFonts w:ascii="Arial" w:cs="Arial" w:eastAsia="Arial" w:hAnsi="Arial"/>
              </w:rPr>
              <w:t xml:space="preserve">RISK 1:  </w:t>
            </w:r>
            <w:r>
              <w:rPr>
                <w:b w:val="false"/>
                <w:bCs w:val="false"/>
                <w:color w:val="FFFFFF"/>
                <w:sz w:val="18"/>
                <w:szCs w:val="18"/>
                <w:rFonts w:ascii="Arial" w:cs="Arial" w:eastAsia="Arial" w:hAnsi="Arial"/>
              </w:rPr>
              <w:t xml:space="preserve">Memory semiconductor cycles are notoriously volatile — the same pricing power driving 75% operating margins today can reverse sharply if AI capex spending decelerates or supply additions outpace demand.</w:t>
            </w:r>
          </w:p>
          <w:p>
            <w:pPr>
              <w:spacing w:before="60" w:after="60"/>
              <w:jc w:val="left"/>
            </w:pPr>
            <w:r>
              <w:rPr>
                <w:b/>
                <w:bCs/>
                <w:color w:val="FFAAAA"/>
                <w:sz w:val="18"/>
                <w:szCs w:val="18"/>
                <w:rFonts w:ascii="Arial" w:cs="Arial" w:eastAsia="Arial" w:hAnsi="Arial"/>
              </w:rPr>
              <w:t xml:space="preserve">RISK 2:  </w:t>
            </w:r>
            <w:r>
              <w:rPr>
                <w:b w:val="false"/>
                <w:bCs w:val="false"/>
                <w:color w:val="FFFFFF"/>
                <w:sz w:val="18"/>
                <w:szCs w:val="18"/>
                <w:rFonts w:ascii="Arial" w:cs="Arial" w:eastAsia="Arial" w:hAnsi="Arial"/>
              </w:rPr>
              <w:t xml:space="preserve">Short-term momentum is deeply negative with RSI at 27, price down 18.24% over two weeks and 14.59% over one week, suggesting the market is pricing in deterioration ahead of or following recent earnings results.</w:t>
            </w:r>
          </w:p>
          <w:p>
            <w:pPr>
              <w:spacing w:before="60" w:after="60"/>
              <w:jc w:val="left"/>
            </w:pPr>
            <w:r>
              <w:rPr>
                <w:b/>
                <w:bCs/>
                <w:color w:val="FFAAAA"/>
                <w:sz w:val="18"/>
                <w:szCs w:val="18"/>
                <w:rFonts w:ascii="Arial" w:cs="Arial" w:eastAsia="Arial" w:hAnsi="Arial"/>
              </w:rPr>
              <w:t xml:space="preserve">RISK 3:  </w:t>
            </w:r>
            <w:r>
              <w:rPr>
                <w:b w:val="false"/>
                <w:bCs w:val="false"/>
                <w:color w:val="FFFFFF"/>
                <w:sz w:val="18"/>
                <w:szCs w:val="18"/>
                <w:rFonts w:ascii="Arial" w:cs="Arial" w:eastAsia="Arial" w:hAnsi="Arial"/>
              </w:rPr>
              <w:t xml:space="preserve">2026 revenue of $133.19B and EPS of $74.33 may embed peak-cycle assumptions — any guidance cut or demand signal from hyperscalers could compress multiples rapidly from current levels.</w:t>
            </w:r>
          </w:p>
        </w:tc>
      </w:tr>
    </w:tbl>
    <w:p>
      <w:pPr>
        <w:spacing w:before="0" w:after="60"/>
        <w:jc w:val="left"/>
      </w:pPr>
      <w:r>
        <w:rPr>
          <w:b w:val="false"/>
          <w:bCs w:val="false"/>
          <w:color w:val="000000"/>
          <w:sz w:val="20"/>
          <w:szCs w:val="20"/>
          <w:rFonts w:ascii="Arial" w:cs="Arial" w:eastAsia="Arial" w:hAnsi="Arial"/>
        </w:rPr>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FF0F0" w:val="clear"/>
            <w:tcMar>
              <w:top w:type="dxa" w:w="120"/>
              <w:left w:type="dxa" w:w="160"/>
              <w:bottom w:type="dxa" w:w="120"/>
              <w:right w:type="dxa" w:w="160"/>
            </w:tcMar>
          </w:tcPr>
          <w:p>
            <w:pPr>
              <w:spacing w:before="0" w:after="0"/>
              <w:jc w:val="left"/>
            </w:pPr>
            <w:r>
              <w:rPr>
                <w:b w:val="false"/>
                <w:bCs w:val="false"/>
                <w:color w:val="000000"/>
                <w:sz w:val="19"/>
                <w:szCs w:val="19"/>
                <w:rFonts w:ascii="Arial" w:cs="Arial" w:eastAsia="Arial" w:hAnsi="Arial"/>
              </w:rPr>
              <w:t xml:space="preserve">Negative — near-term price action is decisively bearish with RSI at 27, multi-week price declines of 14-18%, and broad sector selling pressure overriding strong fundamental results.</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13 — INVESTMENT THESIS  (250–300 words)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1"/>
              <w:left w:val="single" w:color="BFBFBF" w:sz="1"/>
              <w:bottom w:val="single" w:color="BFBFBF" w:sz="1"/>
              <w:right w:val="single" w:color="BFBFBF" w:sz="1"/>
            </w:tcBorders>
            <w:shd w:fill="F5F8FF" w:val="clear"/>
            <w:tcMar>
              <w:top w:type="dxa" w:w="160"/>
              <w:left w:type="dxa" w:w="200"/>
              <w:bottom w:type="dxa" w:w="160"/>
              <w:right w:type="dxa" w:w="200"/>
            </w:tcMar>
          </w:tcPr>
          <w:p>
            <w:pPr>
              <w:spacing w:before="0" w:after="0"/>
              <w:jc w:val="left"/>
            </w:pPr>
            <w:r>
              <w:rPr>
                <w:b w:val="false"/>
                <w:bCs w:val="false"/>
                <w:color w:val="000000"/>
                <w:sz w:val="20"/>
                <w:szCs w:val="20"/>
                <w:rFonts w:ascii="Arial" w:cs="Arial" w:eastAsia="Arial" w:hAnsi="Arial"/>
              </w:rPr>
              <w:t xml:space="preserve">Micron Technology represents a powerful cyclical and structural rebound story, having emerged from a severe 2023 downturn — where operating margins hit -37% and EPS was -$5.34 — to a TTM profile of $133.19B in revenue, 75% operating margins, and EPS of $75.31. This transformation is primarily driven by explosive AI-related HBM demand, where Micron is a key supplier alongside SK Hynix and Samsung. The company's revenue CAGR of approximately 104.6% over three years is among the most dramatic inflections in the semiconductor sector. Balance sheet quality is exceptional: net cash of $15.79B, equity ratio of 70.6%, and ROE expanding from -13.2% in 2023 to 61.4% TTM, signaling a genuine wealth-compounding trajectory. Analyst consensus is strongly bullish with 70 analysts setting a $1,663 target implying 89.3% upside. However, the stock is under acute short-term pressure — RSI at 27, price off 18%+ in two weeks — reflecting market concerns about cycle durability and potential demand deceleration. Jim Cramer and financial media note that good fundamentals are not translating to price appreciation, a warning signal in momentum markets. Insider activity is neutral with no buys or sells. The core risk is cyclicality: memory markets can reprice violently, and 75% operating margins likely represent a peak-cycle reading. Investors must weigh the structural AI memory demand thesis against the sector's history of sharp reversals. This is a high-quality business at an inflection point, but near-term price action demands caution.</w:t>
            </w:r>
          </w:p>
        </w:tc>
      </w:tr>
    </w:tbl>
    <w:p>
      <w:pPr>
        <w:spacing w:before="0" w:after="120"/>
        <w:jc w:val="left"/>
      </w:pPr>
      <w:r>
        <w:rPr>
          <w:b w:val="false"/>
          <w:bCs w:val="false"/>
          <w:color w:val="000000"/>
          <w:sz w:val="20"/>
          <w:szCs w:val="20"/>
          <w:rFonts w:ascii="Arial" w:cs="Arial" w:eastAsia="Arial" w:hAnsi="Arial"/>
        </w:rPr>
      </w:r>
    </w:p>
    <w:p>
      <w:pPr>
        <w:pBdr>
          <w:bottom w:val="single" w:color="B8860B" w:sz="8" w:space="2"/>
        </w:pBdr>
        <w:spacing w:before="240" w:after="80"/>
        <w:jc w:val="left"/>
      </w:pPr>
      <w:r>
        <w:rPr>
          <w:b/>
          <w:bCs/>
          <w:color w:val="1F3864"/>
          <w:sz w:val="22"/>
          <w:szCs w:val="22"/>
          <w:rFonts w:ascii="Arial" w:cs="Arial" w:eastAsia="Arial" w:hAnsi="Arial"/>
        </w:rPr>
        <w:t xml:space="preserve">SECTION 14 — MONITORING TRIGGERS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BFBFBF" w:sz="1"/>
              <w:left w:val="single" w:color="BFBFBF" w:sz="1"/>
              <w:bottom w:val="single" w:color="BFBFBF" w:sz="1"/>
              <w:right w:val="single" w:color="BFBFBF" w:sz="1"/>
            </w:tcBorders>
            <w:shd w:fill="EBF5EB" w:val="clear"/>
            <w:tcMar>
              <w:top w:type="dxa" w:w="120"/>
              <w:left w:type="dxa" w:w="160"/>
              <w:bottom w:type="dxa" w:w="120"/>
              <w:right w:type="dxa" w:w="100"/>
            </w:tcMar>
          </w:tcPr>
          <w:p>
            <w:pPr>
              <w:spacing w:before="60" w:after="80"/>
              <w:jc w:val="left"/>
            </w:pPr>
            <w:r>
              <w:rPr>
                <w:b/>
                <w:bCs/>
                <w:color w:val="375623"/>
                <w:sz w:val="19"/>
                <w:szCs w:val="19"/>
                <w:rFonts w:ascii="Arial" w:cs="Arial" w:eastAsia="Arial" w:hAnsi="Arial"/>
              </w:rPr>
              <w:t xml:space="preserve">✅  CONFIRMING SIGNALS — THESIS STRENGTHENS IF:</w:t>
            </w:r>
          </w:p>
          <w:p>
            <w:pPr>
              <w:spacing w:before="0" w:after="40"/>
              <w:jc w:val="left"/>
            </w:pPr>
            <w:r>
              <w:rPr>
                <w:b/>
                <w:bCs/>
                <w:color w:val="375623"/>
                <w:sz w:val="18"/>
                <w:szCs w:val="18"/>
                <w:rFonts w:ascii="Arial" w:cs="Arial" w:eastAsia="Arial" w:hAnsi="Arial"/>
              </w:rPr>
              <w:t xml:space="preserve">•  </w:t>
            </w:r>
            <w:r>
              <w:rPr>
                <w:b w:val="false"/>
                <w:bCs w:val="false"/>
                <w:color w:val="375623"/>
                <w:sz w:val="18"/>
                <w:szCs w:val="18"/>
                <w:rFonts w:ascii="Arial" w:cs="Arial" w:eastAsia="Arial" w:hAnsi="Arial"/>
              </w:rPr>
              <w:t xml:space="preserve">HBM supply agreements or capacity expansion announcements with major hyperscalers (Microsoft</w:t>
            </w:r>
          </w:p>
          <w:p>
            <w:pPr>
              <w:spacing w:before="0" w:after="40"/>
              <w:jc w:val="left"/>
            </w:pPr>
            <w:r>
              <w:rPr>
                <w:b/>
                <w:bCs/>
                <w:color w:val="375623"/>
                <w:sz w:val="18"/>
                <w:szCs w:val="18"/>
                <w:rFonts w:ascii="Arial" w:cs="Arial" w:eastAsia="Arial" w:hAnsi="Arial"/>
              </w:rPr>
              <w:t xml:space="preserve">•  </w:t>
            </w:r>
            <w:r>
              <w:rPr>
                <w:b w:val="false"/>
                <w:bCs w:val="false"/>
                <w:color w:val="375623"/>
                <w:sz w:val="18"/>
                <w:szCs w:val="18"/>
                <w:rFonts w:ascii="Arial" w:cs="Arial" w:eastAsia="Arial" w:hAnsi="Arial"/>
              </w:rPr>
              <w:t xml:space="preserve">Google</w:t>
            </w:r>
          </w:p>
          <w:p>
            <w:pPr>
              <w:spacing w:before="0" w:after="40"/>
              <w:jc w:val="left"/>
            </w:pPr>
            <w:r>
              <w:rPr>
                <w:b/>
                <w:bCs/>
                <w:color w:val="375623"/>
                <w:sz w:val="18"/>
                <w:szCs w:val="18"/>
                <w:rFonts w:ascii="Arial" w:cs="Arial" w:eastAsia="Arial" w:hAnsi="Arial"/>
              </w:rPr>
              <w:t xml:space="preserve">•  </w:t>
            </w:r>
            <w:r>
              <w:rPr>
                <w:b w:val="false"/>
                <w:bCs w:val="false"/>
                <w:color w:val="375623"/>
                <w:sz w:val="18"/>
                <w:szCs w:val="18"/>
                <w:rFonts w:ascii="Arial" w:cs="Arial" w:eastAsia="Arial" w:hAnsi="Arial"/>
              </w:rPr>
              <w:t xml:space="preserve">Amazon)</w:t>
            </w:r>
          </w:p>
          <w:p>
            <w:pPr>
              <w:spacing w:before="0" w:after="40"/>
              <w:jc w:val="left"/>
            </w:pPr>
            <w:r>
              <w:rPr>
                <w:b/>
                <w:bCs/>
                <w:color w:val="375623"/>
                <w:sz w:val="18"/>
                <w:szCs w:val="18"/>
                <w:rFonts w:ascii="Arial" w:cs="Arial" w:eastAsia="Arial" w:hAnsi="Arial"/>
              </w:rPr>
              <w:t xml:space="preserve">•  </w:t>
            </w:r>
            <w:r>
              <w:rPr>
                <w:b w:val="false"/>
                <w:bCs w:val="false"/>
                <w:color w:val="375623"/>
                <w:sz w:val="18"/>
                <w:szCs w:val="18"/>
                <w:rFonts w:ascii="Arial" w:cs="Arial" w:eastAsia="Arial" w:hAnsi="Arial"/>
              </w:rPr>
              <w:t xml:space="preserve">Sequential revenue or margin guidance raise on next earnings call</w:t>
            </w:r>
          </w:p>
          <w:p>
            <w:pPr>
              <w:spacing w:before="0" w:after="40"/>
              <w:jc w:val="left"/>
            </w:pPr>
            <w:r>
              <w:rPr>
                <w:b/>
                <w:bCs/>
                <w:color w:val="375623"/>
                <w:sz w:val="18"/>
                <w:szCs w:val="18"/>
                <w:rFonts w:ascii="Arial" w:cs="Arial" w:eastAsia="Arial" w:hAnsi="Arial"/>
              </w:rPr>
              <w:t xml:space="preserve">•  </w:t>
            </w:r>
            <w:r>
              <w:rPr>
                <w:b w:val="false"/>
                <w:bCs w:val="false"/>
                <w:color w:val="375623"/>
                <w:sz w:val="18"/>
                <w:szCs w:val="18"/>
                <w:rFonts w:ascii="Arial" w:cs="Arial" w:eastAsia="Arial" w:hAnsi="Arial"/>
              </w:rPr>
              <w:t xml:space="preserve">RSI recovery above 40 with volume confirmation signaling institutional accumulation</w:t>
            </w:r>
          </w:p>
          <w:p>
            <w:pPr>
              <w:spacing w:before="0" w:after="40"/>
              <w:jc w:val="left"/>
            </w:pPr>
            <w:r>
              <w:rPr>
                <w:b/>
                <w:bCs/>
                <w:color w:val="375623"/>
                <w:sz w:val="18"/>
                <w:szCs w:val="18"/>
                <w:rFonts w:ascii="Arial" w:cs="Arial" w:eastAsia="Arial" w:hAnsi="Arial"/>
              </w:rPr>
              <w:t xml:space="preserve">•  </w:t>
            </w:r>
            <w:r>
              <w:rPr>
                <w:b w:val="false"/>
                <w:bCs w:val="false"/>
                <w:color w:val="375623"/>
                <w:sz w:val="18"/>
                <w:szCs w:val="18"/>
                <w:rFonts w:ascii="Arial" w:cs="Arial" w:eastAsia="Arial" w:hAnsi="Arial"/>
              </w:rPr>
              <w:t xml:space="preserve">AI capex spending announcements from Nvidia</w:t>
            </w:r>
          </w:p>
          <w:p>
            <w:pPr>
              <w:spacing w:before="0" w:after="40"/>
              <w:jc w:val="left"/>
            </w:pPr>
            <w:r>
              <w:rPr>
                <w:b/>
                <w:bCs/>
                <w:color w:val="375623"/>
                <w:sz w:val="18"/>
                <w:szCs w:val="18"/>
                <w:rFonts w:ascii="Arial" w:cs="Arial" w:eastAsia="Arial" w:hAnsi="Arial"/>
              </w:rPr>
              <w:t xml:space="preserve">•  </w:t>
            </w:r>
            <w:r>
              <w:rPr>
                <w:b w:val="false"/>
                <w:bCs w:val="false"/>
                <w:color w:val="375623"/>
                <w:sz w:val="18"/>
                <w:szCs w:val="18"/>
                <w:rFonts w:ascii="Arial" w:cs="Arial" w:eastAsia="Arial" w:hAnsi="Arial"/>
              </w:rPr>
              <w:t xml:space="preserve">Meta</w:t>
            </w:r>
          </w:p>
          <w:p>
            <w:pPr>
              <w:spacing w:before="0" w:after="40"/>
              <w:jc w:val="left"/>
            </w:pPr>
            <w:r>
              <w:rPr>
                <w:b/>
                <w:bCs/>
                <w:color w:val="375623"/>
                <w:sz w:val="18"/>
                <w:szCs w:val="18"/>
                <w:rFonts w:ascii="Arial" w:cs="Arial" w:eastAsia="Arial" w:hAnsi="Arial"/>
              </w:rPr>
              <w:t xml:space="preserve">•  </w:t>
            </w:r>
            <w:r>
              <w:rPr>
                <w:b w:val="false"/>
                <w:bCs w:val="false"/>
                <w:color w:val="375623"/>
                <w:sz w:val="18"/>
                <w:szCs w:val="18"/>
                <w:rFonts w:ascii="Arial" w:cs="Arial" w:eastAsia="Arial" w:hAnsi="Arial"/>
              </w:rPr>
              <w:t xml:space="preserve">or hyperscalers confirming continued HBM demand</w:t>
            </w:r>
          </w:p>
          <w:p>
            <w:pPr>
              <w:spacing w:before="0" w:after="40"/>
              <w:jc w:val="left"/>
            </w:pPr>
            <w:r>
              <w:rPr>
                <w:b/>
                <w:bCs/>
                <w:color w:val="375623"/>
                <w:sz w:val="18"/>
                <w:szCs w:val="18"/>
                <w:rFonts w:ascii="Arial" w:cs="Arial" w:eastAsia="Arial" w:hAnsi="Arial"/>
              </w:rPr>
              <w:t xml:space="preserve">•  </w:t>
            </w:r>
            <w:r>
              <w:rPr>
                <w:b w:val="false"/>
                <w:bCs w:val="false"/>
                <w:color w:val="375623"/>
                <w:sz w:val="18"/>
                <w:szCs w:val="18"/>
                <w:rFonts w:ascii="Arial" w:cs="Arial" w:eastAsia="Arial" w:hAnsi="Arial"/>
              </w:rPr>
              <w:t xml:space="preserve">Analyst price target upgrades following any positive datapoints</w:t>
            </w:r>
          </w:p>
        </w:tc>
        <w:tc>
          <w:tcPr>
            <w:tcW w:type="dxa" w:w="4680"/>
            <w:tcBorders>
              <w:top w:val="single" w:color="BFBFBF" w:sz="1"/>
              <w:left w:val="single" w:color="BFBFBF" w:sz="1"/>
              <w:bottom w:val="single" w:color="BFBFBF" w:sz="1"/>
              <w:right w:val="single" w:color="BFBFBF" w:sz="1"/>
            </w:tcBorders>
            <w:shd w:fill="FFF0F0" w:val="clear"/>
            <w:tcMar>
              <w:top w:type="dxa" w:w="120"/>
              <w:left w:type="dxa" w:w="100"/>
              <w:bottom w:type="dxa" w:w="120"/>
              <w:right w:type="dxa" w:w="160"/>
            </w:tcMar>
          </w:tcPr>
          <w:p>
            <w:pPr>
              <w:spacing w:before="60" w:after="80"/>
              <w:jc w:val="left"/>
            </w:pPr>
            <w:r>
              <w:rPr>
                <w:b/>
                <w:bCs/>
                <w:color w:val="C00000"/>
                <w:sz w:val="19"/>
                <w:szCs w:val="19"/>
                <w:rFonts w:ascii="Arial" w:cs="Arial" w:eastAsia="Arial" w:hAnsi="Arial"/>
              </w:rPr>
              <w:t xml:space="preserve">⚠️  RISK TRIGGERS — THESIS WEAKENS IF:</w:t>
            </w:r>
          </w:p>
          <w:p>
            <w:pPr>
              <w:spacing w:before="0" w:after="40"/>
              <w:jc w:val="left"/>
            </w:pPr>
            <w:r>
              <w:rPr>
                <w:b/>
                <w:bCs/>
                <w:color w:val="C00000"/>
                <w:sz w:val="18"/>
                <w:szCs w:val="18"/>
                <w:rFonts w:ascii="Arial" w:cs="Arial" w:eastAsia="Arial" w:hAnsi="Arial"/>
              </w:rPr>
              <w:t xml:space="preserve">•  </w:t>
            </w:r>
            <w:r>
              <w:rPr>
                <w:b w:val="false"/>
                <w:bCs w:val="false"/>
                <w:color w:val="C00000"/>
                <w:sz w:val="18"/>
                <w:szCs w:val="18"/>
                <w:rFonts w:ascii="Arial" w:cs="Arial" w:eastAsia="Arial" w:hAnsi="Arial"/>
              </w:rPr>
              <w:t xml:space="preserve">Memory spot price declines or DRAM/NAND pricing deterioration reported in industry data</w:t>
            </w:r>
          </w:p>
          <w:p>
            <w:pPr>
              <w:spacing w:before="0" w:after="40"/>
              <w:jc w:val="left"/>
            </w:pPr>
            <w:r>
              <w:rPr>
                <w:b/>
                <w:bCs/>
                <w:color w:val="C00000"/>
                <w:sz w:val="18"/>
                <w:szCs w:val="18"/>
                <w:rFonts w:ascii="Arial" w:cs="Arial" w:eastAsia="Arial" w:hAnsi="Arial"/>
              </w:rPr>
              <w:t xml:space="preserve">•  </w:t>
            </w:r>
            <w:r>
              <w:rPr>
                <w:b w:val="false"/>
                <w:bCs w:val="false"/>
                <w:color w:val="C00000"/>
                <w:sz w:val="18"/>
                <w:szCs w:val="18"/>
                <w:rFonts w:ascii="Arial" w:cs="Arial" w:eastAsia="Arial" w:hAnsi="Arial"/>
              </w:rPr>
              <w:t xml:space="preserve">Hyperscaler capex guidance cuts signaling reduced AI infrastructure investment</w:t>
            </w:r>
          </w:p>
          <w:p>
            <w:pPr>
              <w:spacing w:before="0" w:after="40"/>
              <w:jc w:val="left"/>
            </w:pPr>
            <w:r>
              <w:rPr>
                <w:b/>
                <w:bCs/>
                <w:color w:val="C00000"/>
                <w:sz w:val="18"/>
                <w:szCs w:val="18"/>
                <w:rFonts w:ascii="Arial" w:cs="Arial" w:eastAsia="Arial" w:hAnsi="Arial"/>
              </w:rPr>
              <w:t xml:space="preserve">•  </w:t>
            </w:r>
            <w:r>
              <w:rPr>
                <w:b w:val="false"/>
                <w:bCs w:val="false"/>
                <w:color w:val="C00000"/>
                <w:sz w:val="18"/>
                <w:szCs w:val="18"/>
                <w:rFonts w:ascii="Arial" w:cs="Arial" w:eastAsia="Arial" w:hAnsi="Arial"/>
              </w:rPr>
              <w:t xml:space="preserve">Micron revenue or margin guidance cut on next earnings call</w:t>
            </w:r>
          </w:p>
          <w:p>
            <w:pPr>
              <w:spacing w:before="0" w:after="40"/>
              <w:jc w:val="left"/>
            </w:pPr>
            <w:r>
              <w:rPr>
                <w:b/>
                <w:bCs/>
                <w:color w:val="C00000"/>
                <w:sz w:val="18"/>
                <w:szCs w:val="18"/>
                <w:rFonts w:ascii="Arial" w:cs="Arial" w:eastAsia="Arial" w:hAnsi="Arial"/>
              </w:rPr>
              <w:t xml:space="preserve">•  </w:t>
            </w:r>
            <w:r>
              <w:rPr>
                <w:b w:val="false"/>
                <w:bCs w:val="false"/>
                <w:color w:val="C00000"/>
                <w:sz w:val="18"/>
                <w:szCs w:val="18"/>
                <w:rFonts w:ascii="Arial" w:cs="Arial" w:eastAsia="Arial" w:hAnsi="Arial"/>
              </w:rPr>
              <w:t xml:space="preserve">Continued RSI below 30 with increasing volume — potential capitulation or institutional exit</w:t>
            </w:r>
          </w:p>
          <w:p>
            <w:pPr>
              <w:spacing w:before="0" w:after="40"/>
              <w:jc w:val="left"/>
            </w:pPr>
            <w:r>
              <w:rPr>
                <w:b/>
                <w:bCs/>
                <w:color w:val="C00000"/>
                <w:sz w:val="18"/>
                <w:szCs w:val="18"/>
                <w:rFonts w:ascii="Arial" w:cs="Arial" w:eastAsia="Arial" w:hAnsi="Arial"/>
              </w:rPr>
              <w:t xml:space="preserve">•  </w:t>
            </w:r>
            <w:r>
              <w:rPr>
                <w:b w:val="false"/>
                <w:bCs w:val="false"/>
                <w:color w:val="C00000"/>
                <w:sz w:val="18"/>
                <w:szCs w:val="18"/>
                <w:rFonts w:ascii="Arial" w:cs="Arial" w:eastAsia="Arial" w:hAnsi="Arial"/>
              </w:rPr>
              <w:t xml:space="preserve">Samsung or SK Hynix HBM capacity ramp announcements that could compress Micron pricing power</w:t>
            </w:r>
          </w:p>
          <w:p>
            <w:pPr>
              <w:spacing w:before="0" w:after="40"/>
              <w:jc w:val="left"/>
            </w:pPr>
            <w:r>
              <w:rPr>
                <w:b/>
                <w:bCs/>
                <w:color w:val="C00000"/>
                <w:sz w:val="18"/>
                <w:szCs w:val="18"/>
                <w:rFonts w:ascii="Arial" w:cs="Arial" w:eastAsia="Arial" w:hAnsi="Arial"/>
              </w:rPr>
              <w:t xml:space="preserve">•  </w:t>
            </w:r>
            <w:r>
              <w:rPr>
                <w:b w:val="false"/>
                <w:bCs w:val="false"/>
                <w:color w:val="C00000"/>
                <w:sz w:val="18"/>
                <w:szCs w:val="18"/>
                <w:rFonts w:ascii="Arial" w:cs="Arial" w:eastAsia="Arial" w:hAnsi="Arial"/>
              </w:rPr>
              <w:t xml:space="preserve">Any signs of customer inventory buildup reducing near-term orders</w:t>
            </w:r>
          </w:p>
        </w:tc>
      </w:tr>
    </w:tbl>
    <w:p>
      <w:pPr>
        <w:spacing w:before="0" w:after="120"/>
        <w:jc w:val="left"/>
      </w:pPr>
      <w:r>
        <w:rPr>
          <w:b w:val="false"/>
          <w:bCs w:val="false"/>
          <w:color w:val="000000"/>
          <w:sz w:val="20"/>
          <w:szCs w:val="20"/>
          <w:rFonts w:ascii="Arial" w:cs="Arial" w:eastAsia="Arial" w:hAnsi="Arial"/>
        </w:rPr>
      </w:r>
    </w:p>
    <w:p>
      <w:pPr>
        <w:spacing w:before="160" w:after="80"/>
        <w:jc w:val="center"/>
      </w:pPr>
      <w:r>
        <w:rPr>
          <w:b w:val="false"/>
          <w:bCs w:val="false"/>
          <w:color w:val="595959"/>
          <w:sz w:val="14"/>
          <w:szCs w:val="14"/>
          <w:rFonts w:ascii="Arial" w:cs="Arial" w:eastAsia="Arial" w:hAnsi="Arial"/>
        </w:rPr>
        <w:t xml:space="preserve">This is an automated research output based on publicly available market and financial data. It is not investment advice, a recommendation, an offer, or a solicitation to buy, sell, or hold any security. The platform does not assess your personal financial situation, investment objectives, risk tolerance, or suitability. You are solely responsible for your own investment decisions.  |  getearlyedge.com</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after="0"/>
      <w:jc w:val="left"/>
    </w:pPr>
    <w:r>
      <w:rPr>
        <w:b w:val="false"/>
        <w:bCs w:val="false"/>
        <w:color w:val="595959"/>
        <w:sz w:val="16"/>
        <w:szCs w:val="16"/>
        <w:rFonts w:ascii="Arial" w:cs="Arial" w:eastAsia="Arial" w:hAnsi="Arial"/>
      </w:rPr>
      <w:t xml:space="preserve">getearlyedge.com  |  Not investment advice.   Page </w:t>
    </w:r>
    <w:r>
      <w:rPr>
        <w:color w:val="595959"/>
        <w:sz w:val="16"/>
        <w:szCs w:val="16"/>
        <w:rFonts w:ascii="Arial" w:cs="Arial" w:eastAsia="Arial" w:hAnsi="Aria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before="0" w:after="0"/>
      <w:jc w:val="right"/>
    </w:pPr>
    <w:r>
      <w:rPr>
        <w:b w:val="false"/>
        <w:bCs w:val="false"/>
        <w:color w:val="595959"/>
        <w:sz w:val="16"/>
        <w:szCs w:val="16"/>
        <w:rFonts w:ascii="Arial" w:cs="Arial" w:eastAsia="Arial" w:hAnsi="Arial"/>
      </w:rPr>
      <w:t xml:space="preserve">Get EarlyEdge   |   MU   |   Sunday, 18 October 2026 at 09:26 (Abu Dhabi Time, UTC+4)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0"/>
        <w:szCs w:val="20"/>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2026-10-18T05:26:54.539Z</dcterms:created>
  <dcterms:modified xsi:type="dcterms:W3CDTF">2026-10-18T05:26:54.539Z</dcterms:modified>
</cp:coreProperties>
</file>

<file path=docProps/custom.xml><?xml version="1.0" encoding="utf-8"?>
<Properties xmlns="http://schemas.openxmlformats.org/officeDocument/2006/custom-properties" xmlns:vt="http://schemas.openxmlformats.org/officeDocument/2006/docPropsVTypes"/>
</file>